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352B" w14:textId="77777777" w:rsidR="002A1910" w:rsidRDefault="002A1910" w:rsidP="00606D2B">
      <w:pPr>
        <w:pStyle w:val="Titolo"/>
        <w:rPr>
          <w:lang w:val="it-IT"/>
        </w:rPr>
      </w:pPr>
    </w:p>
    <w:p w14:paraId="2080D76D" w14:textId="44940106" w:rsidR="00606D2B" w:rsidRPr="002A1910" w:rsidRDefault="002A1910" w:rsidP="002A1910">
      <w:pPr>
        <w:pStyle w:val="Titolo"/>
        <w:jc w:val="center"/>
        <w:rPr>
          <w:kern w:val="0"/>
          <w:lang w:val="it-IT"/>
          <w14:ligatures w14:val="none"/>
        </w:rPr>
      </w:pPr>
      <w:r>
        <w:rPr>
          <w:lang w:val="it-IT"/>
        </w:rPr>
        <w:t>U</w:t>
      </w:r>
      <w:r w:rsidR="00CF6043" w:rsidRPr="002A1910">
        <w:rPr>
          <w:lang w:val="it-IT"/>
        </w:rPr>
        <w:t xml:space="preserve">ffici KRUK </w:t>
      </w:r>
      <w:r w:rsidR="00895DD3" w:rsidRPr="002A1910">
        <w:rPr>
          <w:lang w:val="it-IT"/>
        </w:rPr>
        <w:t>S.A</w:t>
      </w:r>
      <w:r w:rsidR="00AA6638" w:rsidRPr="002A1910">
        <w:rPr>
          <w:lang w:val="it-IT"/>
        </w:rPr>
        <w:t>.</w:t>
      </w:r>
      <w:r>
        <w:rPr>
          <w:lang w:val="it-IT"/>
        </w:rPr>
        <w:t xml:space="preserve">, dove </w:t>
      </w:r>
      <w:r w:rsidR="00AA6638" w:rsidRPr="002A1910">
        <w:rPr>
          <w:lang w:val="it-IT"/>
        </w:rPr>
        <w:t xml:space="preserve">modernità ed </w:t>
      </w:r>
      <w:r w:rsidR="0076472E" w:rsidRPr="002A1910">
        <w:rPr>
          <w:lang w:val="it-IT"/>
        </w:rPr>
        <w:t>ergonomia</w:t>
      </w:r>
      <w:r w:rsidR="009470C9" w:rsidRPr="009470C9">
        <w:rPr>
          <w:lang w:val="it-IT"/>
        </w:rPr>
        <w:t xml:space="preserve"> </w:t>
      </w:r>
      <w:r w:rsidR="009470C9">
        <w:rPr>
          <w:lang w:val="it-IT"/>
        </w:rPr>
        <w:t>si incontrano</w:t>
      </w:r>
    </w:p>
    <w:p w14:paraId="07F2E634" w14:textId="09D53DED" w:rsidR="000A506C" w:rsidRPr="002A1910" w:rsidRDefault="000A506C" w:rsidP="00E74E0D">
      <w:pPr>
        <w:rPr>
          <w:b/>
          <w:bCs/>
          <w:lang w:val="it-IT"/>
        </w:rPr>
      </w:pPr>
    </w:p>
    <w:p w14:paraId="13B7AE6A" w14:textId="43BBDC7B" w:rsidR="00B35172" w:rsidRPr="00B35172" w:rsidRDefault="00B35172" w:rsidP="00B35172">
      <w:pPr>
        <w:jc w:val="center"/>
      </w:pPr>
      <w:r w:rsidRPr="00B35172">
        <w:rPr>
          <w:noProof/>
        </w:rPr>
        <w:drawing>
          <wp:inline distT="0" distB="0" distL="0" distR="0" wp14:anchorId="4BF867EC" wp14:editId="0E7E21E7">
            <wp:extent cx="5684520" cy="3789680"/>
            <wp:effectExtent l="0" t="0" r="0" b="1270"/>
            <wp:docPr id="171270071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F016" w14:textId="77777777" w:rsidR="0073420A" w:rsidRPr="0073420A" w:rsidRDefault="0073420A" w:rsidP="0073420A">
      <w:pPr>
        <w:jc w:val="center"/>
        <w:rPr>
          <w:b/>
          <w:bCs/>
          <w:i/>
          <w:iCs/>
          <w:lang w:val="it-IT"/>
        </w:rPr>
      </w:pPr>
      <w:r w:rsidRPr="0073420A">
        <w:rPr>
          <w:b/>
          <w:bCs/>
          <w:i/>
          <w:iCs/>
          <w:lang w:val="it-IT"/>
        </w:rPr>
        <w:t>KRUK, una delle più grandi società di recupero crediti d’Europa, utilizza soluzioni IT e audiovisive all’avanguardia nella sua nuova sede centrale a Breslavia. Sono stati installati quarantadue display Sony BRAVIA distribuiti su tre piani per un totale di 6.000 m².</w:t>
      </w:r>
    </w:p>
    <w:p w14:paraId="77FD1776" w14:textId="12150063" w:rsidR="005A3231" w:rsidRPr="002A1910" w:rsidRDefault="00606D2B" w:rsidP="00E05BCE">
      <w:pPr>
        <w:rPr>
          <w:lang w:val="it-IT"/>
        </w:rPr>
      </w:pPr>
      <w:r w:rsidRPr="002A1910">
        <w:rPr>
          <w:lang w:val="it-IT"/>
        </w:rPr>
        <w:t>Il nuovo ufficio di KRUK è</w:t>
      </w:r>
      <w:r w:rsidR="005A3231">
        <w:rPr>
          <w:lang w:val="it-IT"/>
        </w:rPr>
        <w:t xml:space="preserve"> </w:t>
      </w:r>
      <w:r w:rsidRPr="002A1910">
        <w:rPr>
          <w:lang w:val="it-IT"/>
        </w:rPr>
        <w:t xml:space="preserve">uno spazio progettato con grande cura. </w:t>
      </w:r>
      <w:r w:rsidR="00E05BCE" w:rsidRPr="002A1910">
        <w:rPr>
          <w:lang w:val="it-IT"/>
        </w:rPr>
        <w:t xml:space="preserve">Flessibilità ed ergonomia </w:t>
      </w:r>
      <w:r w:rsidRPr="002A1910">
        <w:rPr>
          <w:lang w:val="it-IT"/>
        </w:rPr>
        <w:t xml:space="preserve">sono state </w:t>
      </w:r>
      <w:r w:rsidR="00E05BCE" w:rsidRPr="002A1910">
        <w:rPr>
          <w:lang w:val="it-IT"/>
        </w:rPr>
        <w:t xml:space="preserve">alla base del progetto. </w:t>
      </w:r>
      <w:r w:rsidRPr="002A1910">
        <w:rPr>
          <w:lang w:val="it-IT"/>
        </w:rPr>
        <w:t xml:space="preserve">Oltre alle postazioni di lavoro tradizionali, </w:t>
      </w:r>
      <w:r w:rsidR="00E05BCE" w:rsidRPr="002A1910">
        <w:rPr>
          <w:lang w:val="it-IT"/>
        </w:rPr>
        <w:t xml:space="preserve">sono state previste scrivanie in piedi, arredi mobili e poltrone massaggianti. L’ufficio dispone di zone benessere </w:t>
      </w:r>
      <w:r w:rsidR="00FC6AEB" w:rsidRPr="002A1910">
        <w:rPr>
          <w:lang w:val="it-IT"/>
        </w:rPr>
        <w:t>con una barra a muro e tappetini da yoga</w:t>
      </w:r>
      <w:r w:rsidR="00E05BCE" w:rsidRPr="002A1910">
        <w:rPr>
          <w:lang w:val="it-IT"/>
        </w:rPr>
        <w:t xml:space="preserve">, cabine insonorizzate e sale giochi, </w:t>
      </w:r>
      <w:r w:rsidR="00FC6AEB" w:rsidRPr="002A1910">
        <w:rPr>
          <w:lang w:val="it-IT"/>
        </w:rPr>
        <w:t xml:space="preserve">oltre a </w:t>
      </w:r>
      <w:r w:rsidR="00E05BCE" w:rsidRPr="002A1910">
        <w:rPr>
          <w:lang w:val="it-IT"/>
        </w:rPr>
        <w:t xml:space="preserve">sale interattive. Ogni dipendente può trovare una zona adatta al </w:t>
      </w:r>
      <w:r w:rsidRPr="002A1910">
        <w:rPr>
          <w:lang w:val="it-IT"/>
        </w:rPr>
        <w:t xml:space="preserve">proprio </w:t>
      </w:r>
      <w:r w:rsidR="00E05BCE" w:rsidRPr="002A1910">
        <w:rPr>
          <w:lang w:val="it-IT"/>
        </w:rPr>
        <w:t xml:space="preserve">stile di lavoro. Ciascuno dei tre piani è stato concepito tenendo conto della neurodiversità, combinando l’arte con </w:t>
      </w:r>
      <w:r w:rsidR="00FC6AEB" w:rsidRPr="002A1910">
        <w:rPr>
          <w:lang w:val="it-IT"/>
        </w:rPr>
        <w:t xml:space="preserve">funzionalità </w:t>
      </w:r>
      <w:r w:rsidR="00E05BCE" w:rsidRPr="002A1910">
        <w:rPr>
          <w:lang w:val="it-IT"/>
        </w:rPr>
        <w:t xml:space="preserve">altamente </w:t>
      </w:r>
      <w:r w:rsidR="00FC6AEB" w:rsidRPr="002A1910">
        <w:rPr>
          <w:lang w:val="it-IT"/>
        </w:rPr>
        <w:t xml:space="preserve">studiate. Lo stesso vale per le sale conferenze </w:t>
      </w:r>
      <w:r w:rsidR="009B57D5" w:rsidRPr="002A1910">
        <w:rPr>
          <w:lang w:val="it-IT"/>
        </w:rPr>
        <w:t>e di formazione</w:t>
      </w:r>
      <w:r w:rsidR="00FC6AEB" w:rsidRPr="002A1910">
        <w:rPr>
          <w:lang w:val="it-IT"/>
        </w:rPr>
        <w:t xml:space="preserve">, </w:t>
      </w:r>
      <w:r w:rsidR="009B57D5" w:rsidRPr="002A1910">
        <w:rPr>
          <w:lang w:val="it-IT"/>
        </w:rPr>
        <w:t>nonché per le sale riunioni</w:t>
      </w:r>
      <w:r w:rsidR="00FC6AEB" w:rsidRPr="002A1910">
        <w:rPr>
          <w:lang w:val="it-IT"/>
        </w:rPr>
        <w:t xml:space="preserve">, progettate con la massima attenzione ai dettagli </w:t>
      </w:r>
      <w:r w:rsidR="009B57D5" w:rsidRPr="002A1910">
        <w:rPr>
          <w:lang w:val="it-IT"/>
        </w:rPr>
        <w:t xml:space="preserve">e dotate di moderne </w:t>
      </w:r>
      <w:r w:rsidR="00FC6AEB" w:rsidRPr="002A1910">
        <w:rPr>
          <w:lang w:val="it-IT"/>
        </w:rPr>
        <w:t>soluzioni IT e audiovisive.</w:t>
      </w:r>
    </w:p>
    <w:p w14:paraId="27EB7A12" w14:textId="30D8F194" w:rsidR="00CB6B7E" w:rsidRPr="002A1910" w:rsidRDefault="00CB6B7E" w:rsidP="00CB6B7E">
      <w:pPr>
        <w:rPr>
          <w:rFonts w:eastAsiaTheme="minorEastAsia"/>
          <w:lang w:val="it-IT"/>
        </w:rPr>
      </w:pPr>
      <w:r w:rsidRPr="005A3231">
        <w:rPr>
          <w:b/>
          <w:bCs/>
          <w:lang w:val="it-IT"/>
        </w:rPr>
        <w:t>Perfezione tecnologica nelle sale conferenze</w:t>
      </w:r>
      <w:r w:rsidR="005A3231">
        <w:rPr>
          <w:b/>
          <w:bCs/>
          <w:lang w:val="it-IT"/>
        </w:rPr>
        <w:br/>
      </w:r>
      <w:r w:rsidRPr="002A1910">
        <w:rPr>
          <w:lang w:val="it-IT"/>
        </w:rPr>
        <w:t xml:space="preserve">Ciascuna delle quindici ampie sale conferenze è dotata di un monitor professionale </w:t>
      </w:r>
      <w:r w:rsidRPr="002A1910">
        <w:rPr>
          <w:b/>
          <w:bCs/>
          <w:lang w:val="it-IT"/>
        </w:rPr>
        <w:t>Sony BRAVIA FW-65BZ30L</w:t>
      </w:r>
      <w:r w:rsidRPr="002A1910">
        <w:rPr>
          <w:lang w:val="it-IT"/>
        </w:rPr>
        <w:t xml:space="preserve"> 4K HDR da 65 pollici, di un touchscreen e di un sistema di videoconferenza</w:t>
      </w:r>
      <w:r w:rsidR="00B23231" w:rsidRPr="002A1910">
        <w:rPr>
          <w:lang w:val="it-IT"/>
        </w:rPr>
        <w:t xml:space="preserve"> HP Poly</w:t>
      </w:r>
      <w:r w:rsidRPr="002A1910">
        <w:rPr>
          <w:lang w:val="it-IT"/>
        </w:rPr>
        <w:t xml:space="preserve">, che opera in combinazione con un processore </w:t>
      </w:r>
      <w:proofErr w:type="spellStart"/>
      <w:r w:rsidRPr="002A1910">
        <w:rPr>
          <w:lang w:val="it-IT"/>
        </w:rPr>
        <w:t>Lightware</w:t>
      </w:r>
      <w:proofErr w:type="spellEnd"/>
      <w:r w:rsidRPr="002A1910">
        <w:rPr>
          <w:lang w:val="it-IT"/>
        </w:rPr>
        <w:t xml:space="preserve"> e un sistema </w:t>
      </w:r>
      <w:r w:rsidRPr="002A1910">
        <w:rPr>
          <w:lang w:val="it-IT"/>
        </w:rPr>
        <w:lastRenderedPageBreak/>
        <w:t>di controllo Q-</w:t>
      </w:r>
      <w:proofErr w:type="spellStart"/>
      <w:r w:rsidRPr="002A1910">
        <w:rPr>
          <w:lang w:val="it-IT"/>
        </w:rPr>
        <w:t>Sys</w:t>
      </w:r>
      <w:proofErr w:type="spellEnd"/>
      <w:r w:rsidRPr="002A1910">
        <w:rPr>
          <w:lang w:val="it-IT"/>
        </w:rPr>
        <w:t>. Qui le conferenze online si svolgono secondo i più alti standard e l’innovativo sistema consente di presentare i materiali in modalità docking station, con la possibilità di visualizzare contenuti diversi su ciascun monitor e di utilizzare funzionalità interattive. È possibile avviare applicazioni direttamente sul monitor, condividerle come presentazioni durante le videoconferenze e modificare i documenti in tempo reale. La modalità BYOD offre il pieno controllo sulle apparecchiature audiovisive della sala, consentendo di ospitare qualsiasi videoconferenza dal proprio computer.</w:t>
      </w:r>
    </w:p>
    <w:p w14:paraId="77C0AFA9" w14:textId="404AEF97" w:rsidR="00CB6B7E" w:rsidRPr="002A1910" w:rsidRDefault="00CB6B7E" w:rsidP="00E05BCE">
      <w:pPr>
        <w:rPr>
          <w:lang w:val="it-IT"/>
        </w:rPr>
      </w:pPr>
      <w:r w:rsidRPr="005A3231">
        <w:rPr>
          <w:b/>
          <w:bCs/>
          <w:lang w:val="it-IT"/>
        </w:rPr>
        <w:t>Elevata funzionalità</w:t>
      </w:r>
      <w:r w:rsidR="005A3231">
        <w:rPr>
          <w:b/>
          <w:bCs/>
          <w:lang w:val="it-IT"/>
        </w:rPr>
        <w:br/>
      </w:r>
      <w:r w:rsidRPr="002A1910">
        <w:rPr>
          <w:lang w:val="it-IT"/>
        </w:rPr>
        <w:t xml:space="preserve">Le sale conferenze sono state progettate e allestite in modo tale che lo spazio possa essere facilmente riconfigurato utilizzando arredi mobili. Ogni sala ha un proprio carattere unico, e la grande attenzione ai dettagli è evidente anche nelle sale riunioni più piccole, progettate in vari stili – ad esempio, minimalista o nel più caratteristico stile </w:t>
      </w:r>
      <w:proofErr w:type="spellStart"/>
      <w:r w:rsidRPr="002A1910">
        <w:rPr>
          <w:lang w:val="it-IT"/>
        </w:rPr>
        <w:t>boho</w:t>
      </w:r>
      <w:proofErr w:type="spellEnd"/>
      <w:r w:rsidRPr="002A1910">
        <w:rPr>
          <w:lang w:val="it-IT"/>
        </w:rPr>
        <w:t xml:space="preserve">. Ventitré sale conferenze di piccole e medie dimensioni sono dotate di display professionali </w:t>
      </w:r>
      <w:hyperlink r:id="rId11" w:history="1">
        <w:r w:rsidRPr="002A1910">
          <w:rPr>
            <w:rStyle w:val="Collegamentoipertestuale"/>
            <w:lang w:val="it-IT"/>
          </w:rPr>
          <w:t>Sony BRAVIA FW-65BZ30L</w:t>
        </w:r>
      </w:hyperlink>
      <w:r w:rsidRPr="002A1910">
        <w:rPr>
          <w:lang w:val="it-IT"/>
        </w:rPr>
        <w:t xml:space="preserve"> da 65 pollici o </w:t>
      </w:r>
      <w:hyperlink r:id="rId12" w:history="1">
        <w:r w:rsidRPr="002A1910">
          <w:rPr>
            <w:rStyle w:val="Collegamentoipertestuale"/>
            <w:lang w:val="it-IT"/>
          </w:rPr>
          <w:t>Sony BRAVIA FW-50BZ30L</w:t>
        </w:r>
      </w:hyperlink>
      <w:r w:rsidRPr="002A1910">
        <w:rPr>
          <w:lang w:val="it-IT"/>
        </w:rPr>
        <w:t xml:space="preserve"> da 50 pollici, abbinati al sistema di videoconferenza</w:t>
      </w:r>
      <w:r w:rsidR="00B23231" w:rsidRPr="002A1910">
        <w:rPr>
          <w:lang w:val="it-IT"/>
        </w:rPr>
        <w:t xml:space="preserve"> HP Poly</w:t>
      </w:r>
      <w:r w:rsidRPr="002A1910">
        <w:rPr>
          <w:lang w:val="it-IT"/>
        </w:rPr>
        <w:t>. Queste sale vengono utilizzate per la comunicazione a distanza</w:t>
      </w:r>
      <w:r w:rsidR="00517613" w:rsidRPr="002A1910">
        <w:rPr>
          <w:lang w:val="it-IT"/>
        </w:rPr>
        <w:t xml:space="preserve">, </w:t>
      </w:r>
      <w:r w:rsidRPr="002A1910">
        <w:rPr>
          <w:lang w:val="it-IT"/>
        </w:rPr>
        <w:t>anche in modalità BYOD</w:t>
      </w:r>
      <w:r w:rsidR="00E67A42" w:rsidRPr="002A1910">
        <w:rPr>
          <w:lang w:val="it-IT"/>
        </w:rPr>
        <w:t>.</w:t>
      </w:r>
    </w:p>
    <w:p w14:paraId="169B261C" w14:textId="01E5513E" w:rsidR="00E67A42" w:rsidRPr="002A1910" w:rsidRDefault="005F5E32" w:rsidP="00E05BCE">
      <w:pPr>
        <w:rPr>
          <w:lang w:val="it-IT" w:eastAsia="pl-PL"/>
        </w:rPr>
      </w:pPr>
      <w:r w:rsidRPr="002A1910">
        <w:rPr>
          <w:lang w:val="it-IT"/>
        </w:rPr>
        <w:t>I display</w:t>
      </w:r>
      <w:r w:rsidR="00E67A42" w:rsidRPr="002A1910">
        <w:rPr>
          <w:lang w:val="it-IT"/>
        </w:rPr>
        <w:t xml:space="preserve"> professionali della serie BZ30L di Sony sono display 4K HDR progettati per applicazioni aziendali. Sono dotati di un’elaborazione delle immagini basata sul processore 4K HDR X1 e di tecnologie volte a migliorare la qualità e la fluidità dell’immagine, tra cui TRILUMINOS PRO, 4K X-Reality PRO e </w:t>
      </w:r>
      <w:proofErr w:type="spellStart"/>
      <w:r w:rsidR="00E67A42" w:rsidRPr="002A1910">
        <w:rPr>
          <w:lang w:val="it-IT"/>
        </w:rPr>
        <w:t>Motionflow</w:t>
      </w:r>
      <w:proofErr w:type="spellEnd"/>
      <w:r w:rsidR="00E67A42" w:rsidRPr="002A1910">
        <w:rPr>
          <w:lang w:val="it-IT"/>
        </w:rPr>
        <w:t xml:space="preserve"> XR, garantendo che video e grafica siano riprodotti in modo naturale e con grande dettaglio. La serie è progettata per un funzionamento continuo 24 ore su 24, 7 giorni su 7, e offre una luminosità di 440 nit, mentre l’ampio angolo di visione facilita la visualizzazione dei contenuti in ambienti più ampi. I </w:t>
      </w:r>
      <w:r w:rsidRPr="002A1910">
        <w:rPr>
          <w:lang w:val="it-IT"/>
        </w:rPr>
        <w:t xml:space="preserve">display </w:t>
      </w:r>
      <w:r w:rsidR="00E67A42" w:rsidRPr="002A1910">
        <w:rPr>
          <w:lang w:val="it-IT"/>
        </w:rPr>
        <w:t>possono essere installati in orientamento orizzontale o verticale, anche inclinati, e i connettori sono posizionati lateralmente per un accesso più agevole una volta montati. Offrono funzionalità “pro” come la modalità Pro-Mode, mentre la semplice condivisione dei contenuti tramite Apple AirPlay e Chromecast risulta utile per l’uso quotidiano.</w:t>
      </w:r>
    </w:p>
    <w:p w14:paraId="0F7DCDDB" w14:textId="1A41F3BC" w:rsidR="00490693" w:rsidRPr="002A1910" w:rsidRDefault="00CB6B7E" w:rsidP="006D5B82">
      <w:pPr>
        <w:rPr>
          <w:lang w:val="it-IT"/>
        </w:rPr>
      </w:pPr>
      <w:r w:rsidRPr="006D5B82">
        <w:rPr>
          <w:b/>
          <w:bCs/>
          <w:lang w:val="it-IT"/>
        </w:rPr>
        <w:t>Una nuova era di lavoro e collaborazione</w:t>
      </w:r>
      <w:r w:rsidR="006D5B82">
        <w:rPr>
          <w:b/>
          <w:bCs/>
          <w:lang w:val="it-IT"/>
        </w:rPr>
        <w:br/>
      </w:r>
      <w:r w:rsidR="00490693" w:rsidRPr="002A1910">
        <w:rPr>
          <w:lang w:val="it-IT"/>
        </w:rPr>
        <w:t xml:space="preserve">L’ufficio è stato arredato con mobili che supportano una varietà di attività: dalle classiche poltrone e scrivanie in piedi alle postazioni di lavoro che consentono al personale di fare esercizio fisico durante la giornata lavorativa utilizzando un tapis roulant o una cyclette. È stata inoltre progettata una sala di formazione che riproduce l’ambiente di un appartamento. </w:t>
      </w:r>
      <w:r w:rsidR="005B4B84" w:rsidRPr="002A1910">
        <w:rPr>
          <w:lang w:val="it-IT"/>
        </w:rPr>
        <w:t xml:space="preserve">È dotata di microfoni e telecamere Shure montati a soffitto per registrare le sessioni di formazione, nonché dell’avanzato software audio Shure </w:t>
      </w:r>
      <w:proofErr w:type="spellStart"/>
      <w:r w:rsidR="005B4B84" w:rsidRPr="002A1910">
        <w:rPr>
          <w:lang w:val="it-IT"/>
        </w:rPr>
        <w:t>IntelliMix</w:t>
      </w:r>
      <w:proofErr w:type="spellEnd"/>
      <w:r w:rsidR="005B4B84" w:rsidRPr="002A1910">
        <w:rPr>
          <w:lang w:val="it-IT"/>
        </w:rPr>
        <w:t>, che consente la registrazione e l’analisi audio di alta qualità. L’intera soluzione consente la visione in diretta, la registrazione dei comportamenti e la successiva analisi del linguaggio del corpo, del tono di voce e del modo in cui i partecipanti alla formazione conducono le conversazioni.</w:t>
      </w:r>
    </w:p>
    <w:p w14:paraId="5C9ECDB1" w14:textId="7497EBB0" w:rsidR="005C17F5" w:rsidRPr="002A1910" w:rsidRDefault="005C17F5" w:rsidP="006D5B82">
      <w:pPr>
        <w:rPr>
          <w:lang w:val="it-IT"/>
        </w:rPr>
      </w:pPr>
      <w:r w:rsidRPr="006D5B82">
        <w:rPr>
          <w:b/>
          <w:bCs/>
          <w:lang w:val="it-IT"/>
        </w:rPr>
        <w:t xml:space="preserve">Spazi per eventi – </w:t>
      </w:r>
      <w:proofErr w:type="spellStart"/>
      <w:r w:rsidRPr="006D5B82">
        <w:rPr>
          <w:b/>
          <w:bCs/>
          <w:lang w:val="it-IT"/>
        </w:rPr>
        <w:t>Townhall</w:t>
      </w:r>
      <w:proofErr w:type="spellEnd"/>
      <w:r w:rsidRPr="006D5B82">
        <w:rPr>
          <w:b/>
          <w:bCs/>
          <w:lang w:val="it-IT"/>
        </w:rPr>
        <w:t xml:space="preserve"> e sale polivalenti</w:t>
      </w:r>
      <w:r w:rsidR="006D5B82">
        <w:rPr>
          <w:b/>
          <w:bCs/>
          <w:lang w:val="it-IT"/>
        </w:rPr>
        <w:br/>
      </w:r>
      <w:r w:rsidR="00490693" w:rsidRPr="002A1910">
        <w:rPr>
          <w:lang w:val="it-IT"/>
        </w:rPr>
        <w:t>La nuova sede centrale di Kruk è inoltre attrezzata per ospitare eventi di grandi dimensioni. La “</w:t>
      </w:r>
      <w:proofErr w:type="spellStart"/>
      <w:r w:rsidR="00490693" w:rsidRPr="002A1910">
        <w:rPr>
          <w:lang w:val="it-IT"/>
        </w:rPr>
        <w:t>Townhall</w:t>
      </w:r>
      <w:proofErr w:type="spellEnd"/>
      <w:r w:rsidR="00490693" w:rsidRPr="002A1910">
        <w:rPr>
          <w:lang w:val="it-IT"/>
        </w:rPr>
        <w:t>” è stata progettata proprio a questo scopo. In questo spazio, il relatore utilizza un microfono Shure montato a soffitto, che controlla una telecamera Q-</w:t>
      </w:r>
      <w:proofErr w:type="spellStart"/>
      <w:r w:rsidR="00490693" w:rsidRPr="002A1910">
        <w:rPr>
          <w:lang w:val="it-IT"/>
        </w:rPr>
        <w:t>Sys</w:t>
      </w:r>
      <w:proofErr w:type="spellEnd"/>
      <w:r w:rsidR="00490693" w:rsidRPr="002A1910">
        <w:rPr>
          <w:lang w:val="it-IT"/>
        </w:rPr>
        <w:t xml:space="preserve">. Il video e l’audio vengono trasmessi in streaming tramite </w:t>
      </w:r>
      <w:r w:rsidR="00B23231" w:rsidRPr="002A1910">
        <w:rPr>
          <w:lang w:val="it-IT"/>
        </w:rPr>
        <w:t xml:space="preserve">HP Poly </w:t>
      </w:r>
      <w:r w:rsidR="00490693" w:rsidRPr="002A1910">
        <w:rPr>
          <w:lang w:val="it-IT"/>
        </w:rPr>
        <w:t xml:space="preserve">a Microsoft Teams. </w:t>
      </w:r>
    </w:p>
    <w:p w14:paraId="684F109D" w14:textId="3E8703D1" w:rsidR="00490693" w:rsidRPr="00A43C9E" w:rsidRDefault="009470C9" w:rsidP="006D5B82">
      <w:r>
        <w:t>I</w:t>
      </w:r>
      <w:r w:rsidRPr="6A7C21D5">
        <w:t>noltre</w:t>
      </w:r>
      <w:r>
        <w:t>,</w:t>
      </w:r>
      <w:r w:rsidRPr="6A7C21D5">
        <w:t xml:space="preserve"> </w:t>
      </w:r>
      <w:r>
        <w:t>l</w:t>
      </w:r>
      <w:r w:rsidR="2619B2E4" w:rsidRPr="6A7C21D5">
        <w:t>’azienda dispone di sale polivalenti, dove il personale utilizza un monitor professionale Sony BRAVIA, un touchscreen, un sistema di videoconferenza</w:t>
      </w:r>
      <w:r w:rsidR="75DABA1D" w:rsidRPr="6A7C21D5">
        <w:t xml:space="preserve"> HP Poly</w:t>
      </w:r>
      <w:r w:rsidR="2619B2E4" w:rsidRPr="6A7C21D5">
        <w:t xml:space="preserve">, un processore Lightware e un sistema di controllo Q-Sys, oltre a microfoni a soffitto Shure (MXA920) </w:t>
      </w:r>
      <w:r w:rsidR="0E9EB5E0" w:rsidRPr="6A7C21D5">
        <w:t xml:space="preserve">e </w:t>
      </w:r>
      <w:r w:rsidR="2619B2E4" w:rsidRPr="6A7C21D5">
        <w:t xml:space="preserve">telecamere Q-Sys </w:t>
      </w:r>
      <w:r w:rsidR="2619B2E4" w:rsidRPr="6A7C21D5">
        <w:lastRenderedPageBreak/>
        <w:t xml:space="preserve">controllate tramite i microfoni a soffitto. La distribuzione del segnale AV si basa </w:t>
      </w:r>
      <w:r w:rsidR="0E9EB5E0" w:rsidRPr="6A7C21D5">
        <w:t>sulla tecnologia</w:t>
      </w:r>
      <w:r w:rsidR="2619B2E4" w:rsidRPr="6A7C21D5">
        <w:t xml:space="preserve"> AVoverIP (Visionary Solutions). Quando le sale vengono collegate, vengono riconfigurate automaticamente. Tutti </w:t>
      </w:r>
      <w:r w:rsidR="7BBBDEEF" w:rsidRPr="6A7C21D5">
        <w:t xml:space="preserve">i display </w:t>
      </w:r>
      <w:r w:rsidR="2619B2E4" w:rsidRPr="6A7C21D5">
        <w:t>visualizzano il segnale proveniente dal sistema di videoconferenza principale (Visionary Solutions), mentre la modalità di inquadratura della telecamera viene regolata per coprire l’area combinata delle sale collegate (Q-Sys).</w:t>
      </w:r>
    </w:p>
    <w:p w14:paraId="3C3D50DE" w14:textId="03C7AC9A" w:rsidR="00490693" w:rsidRPr="002A1910" w:rsidRDefault="005F5E32" w:rsidP="00490693">
      <w:pPr>
        <w:jc w:val="both"/>
        <w:rPr>
          <w:lang w:val="it-IT"/>
        </w:rPr>
      </w:pPr>
      <w:r w:rsidRPr="002A1910">
        <w:rPr>
          <w:i/>
          <w:iCs/>
          <w:lang w:val="it-IT"/>
        </w:rPr>
        <w:t>“I display</w:t>
      </w:r>
      <w:r w:rsidR="0057470C" w:rsidRPr="002A1910">
        <w:rPr>
          <w:i/>
          <w:iCs/>
          <w:lang w:val="it-IT"/>
        </w:rPr>
        <w:t xml:space="preserve"> professionali </w:t>
      </w:r>
      <w:r w:rsidR="00DD6E53" w:rsidRPr="002A1910">
        <w:rPr>
          <w:i/>
          <w:iCs/>
          <w:lang w:val="it-IT"/>
        </w:rPr>
        <w:t xml:space="preserve">della serie </w:t>
      </w:r>
      <w:r w:rsidR="0057470C" w:rsidRPr="002A1910">
        <w:rPr>
          <w:i/>
          <w:iCs/>
          <w:lang w:val="it-IT"/>
        </w:rPr>
        <w:t xml:space="preserve">Sony BRAVIA </w:t>
      </w:r>
      <w:r w:rsidR="00DD6E53" w:rsidRPr="002A1910">
        <w:rPr>
          <w:i/>
          <w:iCs/>
          <w:lang w:val="it-IT"/>
        </w:rPr>
        <w:t xml:space="preserve">BZ30L non solo offrono una qualità dell’immagine eccezionale e numerose funzionalità a supporto dell’integrazione, della configurazione e della condivisione dei contenuti, ma vantano anche un design impeccabile. Siamo orgogliosi che </w:t>
      </w:r>
      <w:r w:rsidR="00AD7DC4" w:rsidRPr="002A1910">
        <w:rPr>
          <w:i/>
          <w:iCs/>
          <w:lang w:val="it-IT"/>
        </w:rPr>
        <w:t xml:space="preserve">vengano utilizzati </w:t>
      </w:r>
      <w:r w:rsidR="00DD6E53" w:rsidRPr="002A1910">
        <w:rPr>
          <w:i/>
          <w:iCs/>
          <w:lang w:val="it-IT"/>
        </w:rPr>
        <w:t xml:space="preserve">in uno spazio così interessante ed ergonomico. KRUK ha dato priorità all’affidabilità e sono convinto che non rimarrà </w:t>
      </w:r>
      <w:r w:rsidR="00DD6E53" w:rsidRPr="002A1910">
        <w:rPr>
          <w:lang w:val="it-IT"/>
        </w:rPr>
        <w:t>delusa”</w:t>
      </w:r>
      <w:r w:rsidR="00DD6E53" w:rsidRPr="002A1910">
        <w:rPr>
          <w:i/>
          <w:iCs/>
          <w:lang w:val="it-IT"/>
        </w:rPr>
        <w:t>,</w:t>
      </w:r>
      <w:r w:rsidR="00DD6E53" w:rsidRPr="002A1910">
        <w:rPr>
          <w:lang w:val="it-IT"/>
        </w:rPr>
        <w:t xml:space="preserve"> conclude </w:t>
      </w:r>
      <w:r w:rsidR="00DD6E53" w:rsidRPr="002A1910">
        <w:rPr>
          <w:b/>
          <w:bCs/>
          <w:lang w:val="it-IT"/>
        </w:rPr>
        <w:t>Piotr Gajewski</w:t>
      </w:r>
      <w:r w:rsidR="00E67A42" w:rsidRPr="002A1910">
        <w:rPr>
          <w:lang w:val="it-IT"/>
        </w:rPr>
        <w:t>, Sales Manager</w:t>
      </w:r>
      <w:r w:rsidR="009470C9">
        <w:rPr>
          <w:lang w:val="it-IT"/>
        </w:rPr>
        <w:t xml:space="preserve">, </w:t>
      </w:r>
      <w:r w:rsidR="00E67A42" w:rsidRPr="002A1910">
        <w:rPr>
          <w:lang w:val="it-IT"/>
        </w:rPr>
        <w:t>Sony Professional Solutions Europe</w:t>
      </w:r>
    </w:p>
    <w:p w14:paraId="17543BD4" w14:textId="77777777" w:rsidR="00490693" w:rsidRPr="002A1910" w:rsidRDefault="00490693" w:rsidP="00490693">
      <w:pPr>
        <w:jc w:val="both"/>
        <w:rPr>
          <w:lang w:val="it-IT"/>
        </w:rPr>
      </w:pPr>
    </w:p>
    <w:p w14:paraId="1ED3FFC8" w14:textId="77777777" w:rsidR="00CB6B7E" w:rsidRPr="002A1910" w:rsidRDefault="00CB6B7E" w:rsidP="00E05BCE">
      <w:pPr>
        <w:pBdr>
          <w:bottom w:val="single" w:sz="12" w:space="1" w:color="auto"/>
        </w:pBdr>
        <w:rPr>
          <w:lang w:val="it-IT"/>
        </w:rPr>
      </w:pPr>
    </w:p>
    <w:p w14:paraId="3C9FD375" w14:textId="1A5948D6" w:rsidR="00E67A42" w:rsidRPr="002A1910" w:rsidRDefault="00E67A42" w:rsidP="00E05BCE">
      <w:pPr>
        <w:rPr>
          <w:sz w:val="20"/>
          <w:szCs w:val="20"/>
          <w:lang w:val="it-IT"/>
        </w:rPr>
      </w:pPr>
      <w:r w:rsidRPr="002A1910">
        <w:rPr>
          <w:b/>
          <w:bCs/>
          <w:sz w:val="20"/>
          <w:szCs w:val="20"/>
          <w:lang w:val="it-IT"/>
        </w:rPr>
        <w:t xml:space="preserve">Il Gruppo KRUK </w:t>
      </w:r>
      <w:r w:rsidRPr="002A1910">
        <w:rPr>
          <w:sz w:val="20"/>
          <w:szCs w:val="20"/>
          <w:lang w:val="it-IT"/>
        </w:rPr>
        <w:t xml:space="preserve">è una delle maggiori società di gestione del credito in Europa, fondata nel 1998 a Breslavia. Il Gruppo gestisce crediti in Polonia, Romania, Italia e Spagna. Il Gruppo detiene inoltre attività in Francia. L’attività principale del Gruppo è il recupero dei crediti acquisiti per conto proprio, principalmente crediti al dettaglio non garantiti. Il Gruppo offre inoltre servizi di gestione del credito su commissione in Polonia, Spagna e Italia, e eroga prestiti al consumo in Polonia e Romania. Le azioni di KRUK S.A. sono quotate alla Borsa di Varsavia (GPW), mentre le sue obbligazioni sono quotate su </w:t>
      </w:r>
      <w:proofErr w:type="spellStart"/>
      <w:r w:rsidRPr="002A1910">
        <w:rPr>
          <w:sz w:val="20"/>
          <w:szCs w:val="20"/>
          <w:lang w:val="it-IT"/>
        </w:rPr>
        <w:t>Catalyst</w:t>
      </w:r>
      <w:proofErr w:type="spellEnd"/>
      <w:r w:rsidRPr="002A1910">
        <w:rPr>
          <w:sz w:val="20"/>
          <w:szCs w:val="20"/>
          <w:lang w:val="it-IT"/>
        </w:rPr>
        <w:t xml:space="preserve"> e sul Nasdaq in Svezia. Le azioni di KRUK S.A. sono incluse nell’indice WIG20. Il Gruppo impiega oltre 3.500 dipendenti (a tempo pieno) e collabora con le più grandi istituzioni finanziarie europee.</w:t>
      </w:r>
    </w:p>
    <w:p w14:paraId="78AA6009" w14:textId="77777777" w:rsidR="00737BFF" w:rsidRPr="002A1910" w:rsidRDefault="00737BFF" w:rsidP="00E67A42">
      <w:pPr>
        <w:spacing w:after="0" w:line="240" w:lineRule="auto"/>
        <w:jc w:val="both"/>
        <w:rPr>
          <w:rFonts w:ascii="Calibri" w:eastAsia="Aptos" w:hAnsi="Calibri" w:cs="Calibri"/>
          <w:b/>
          <w:bCs/>
          <w:color w:val="000000" w:themeColor="text1"/>
          <w:sz w:val="20"/>
          <w:szCs w:val="20"/>
          <w:lang w:val="it-IT"/>
        </w:rPr>
      </w:pPr>
    </w:p>
    <w:p w14:paraId="150D5411" w14:textId="77777777" w:rsidR="00A43C9E" w:rsidRPr="002A1910" w:rsidRDefault="00A43C9E" w:rsidP="00A43C9E">
      <w:pPr>
        <w:rPr>
          <w:rFonts w:ascii="Calibri" w:eastAsia="Aptos" w:hAnsi="Calibri" w:cs="Calibri"/>
          <w:b/>
          <w:bCs/>
          <w:color w:val="000000" w:themeColor="text1"/>
          <w:sz w:val="20"/>
          <w:szCs w:val="20"/>
          <w:lang w:val="it-IT"/>
        </w:rPr>
      </w:pPr>
      <w:r w:rsidRPr="002A1910">
        <w:rPr>
          <w:rFonts w:ascii="Calibri" w:eastAsia="Aptos" w:hAnsi="Calibri" w:cs="Calibri"/>
          <w:b/>
          <w:bCs/>
          <w:color w:val="000000" w:themeColor="text1"/>
          <w:sz w:val="20"/>
          <w:szCs w:val="20"/>
          <w:lang w:val="it-IT"/>
        </w:rPr>
        <w:t>Informazioni su Sony Corporation</w:t>
      </w:r>
    </w:p>
    <w:p w14:paraId="3B5EC4ED" w14:textId="77777777" w:rsidR="00A43C9E" w:rsidRPr="002A1910" w:rsidRDefault="00A43C9E" w:rsidP="00A43C9E">
      <w:pPr>
        <w:rPr>
          <w:rFonts w:ascii="Calibri" w:eastAsia="Aptos" w:hAnsi="Calibri" w:cs="Calibri"/>
          <w:color w:val="000000" w:themeColor="text1"/>
          <w:sz w:val="20"/>
          <w:szCs w:val="20"/>
          <w:lang w:val="it-IT"/>
        </w:rPr>
      </w:pPr>
      <w:r w:rsidRPr="002A1910">
        <w:rPr>
          <w:rFonts w:ascii="Calibri" w:eastAsia="Aptos" w:hAnsi="Calibri" w:cs="Calibri"/>
          <w:color w:val="000000" w:themeColor="text1"/>
          <w:sz w:val="20"/>
          <w:szCs w:val="20"/>
          <w:lang w:val="it-IT"/>
        </w:rPr>
        <w:t>Sony Corporation è una controllata al 100% di Sony Group Corporation ed è responsabile del settore Entertainment, Technology &amp; Services (ET&amp;S). Con la missione di «creare il futuro dell’intrattenimento attraverso il potere della tecnologia insieme ai creatori», miriamo a continuare a offrire Kando* alle persone di tutto il mondo. Per ulteriori informazioni, visitare: http://www.sony.net/</w:t>
      </w:r>
    </w:p>
    <w:p w14:paraId="3DB58D24" w14:textId="77777777" w:rsidR="00A43C9E" w:rsidRPr="002A1910" w:rsidRDefault="00A43C9E" w:rsidP="00A43C9E">
      <w:pPr>
        <w:rPr>
          <w:rFonts w:ascii="Calibri" w:eastAsia="Aptos" w:hAnsi="Calibri" w:cs="Calibri"/>
          <w:color w:val="000000" w:themeColor="text1"/>
          <w:sz w:val="20"/>
          <w:szCs w:val="20"/>
          <w:lang w:val="it-IT"/>
        </w:rPr>
      </w:pPr>
      <w:r w:rsidRPr="002A1910">
        <w:rPr>
          <w:rFonts w:ascii="Calibri" w:eastAsia="Aptos" w:hAnsi="Calibri" w:cs="Calibri"/>
          <w:i/>
          <w:iCs/>
          <w:color w:val="000000" w:themeColor="text1"/>
          <w:sz w:val="20"/>
          <w:szCs w:val="20"/>
          <w:lang w:val="it-IT"/>
        </w:rPr>
        <w:t>*Kando è una parola giapponese che si traduce approssimativamente con il senso di stupore ed emozione che si prova quando si sperimenta per la prima volta qualcosa di bello e straordinario.</w:t>
      </w:r>
    </w:p>
    <w:p w14:paraId="78F47E22" w14:textId="77777777" w:rsidR="00A43C9E" w:rsidRPr="002A1910" w:rsidRDefault="00A43C9E" w:rsidP="00A43C9E">
      <w:pPr>
        <w:rPr>
          <w:rFonts w:ascii="Calibri" w:eastAsia="Aptos" w:hAnsi="Calibri" w:cs="Calibri"/>
          <w:b/>
          <w:bCs/>
          <w:color w:val="000000" w:themeColor="text1"/>
          <w:sz w:val="20"/>
          <w:szCs w:val="20"/>
          <w:lang w:val="it-IT"/>
        </w:rPr>
      </w:pPr>
      <w:r w:rsidRPr="002A1910">
        <w:rPr>
          <w:rFonts w:ascii="Calibri" w:eastAsia="Aptos" w:hAnsi="Calibri" w:cs="Calibri"/>
          <w:b/>
          <w:bCs/>
          <w:color w:val="000000" w:themeColor="text1"/>
          <w:sz w:val="20"/>
          <w:szCs w:val="20"/>
          <w:lang w:val="it-IT"/>
        </w:rPr>
        <w:t>Informazioni su Sony Europe B.V.</w:t>
      </w:r>
    </w:p>
    <w:p w14:paraId="7E40B7A3" w14:textId="7F865C2B" w:rsidR="00E67A42" w:rsidRDefault="00A43C9E" w:rsidP="00E05BCE">
      <w:r w:rsidRPr="002A1910">
        <w:rPr>
          <w:rFonts w:ascii="Calibri" w:eastAsia="Aptos" w:hAnsi="Calibri" w:cs="Calibri"/>
          <w:color w:val="000000" w:themeColor="text1"/>
          <w:sz w:val="20"/>
          <w:szCs w:val="20"/>
          <w:lang w:val="it-IT"/>
        </w:rPr>
        <w:t xml:space="preserve">Sony Europe B.V. è una controllata di Sony Corporation con sede nel Regno Unito. Guidiamo le attività leader di Sony nei settori dell’intrattenimento, della tecnologia e dei servizi per i mercati consumer e professionali, nonché il settore delle soluzioni di imaging e rilevamento in tutta Europa. Dalla ricerca e sviluppo all’ingegneria, dal design alle vendite, al marketing, alla distribuzione e al servizio clienti, lavoriamo per realizzare la missione di Sony: riempire il mondo di emozioni attraverso il potere della creatività e della tecnologia. </w:t>
      </w:r>
      <w:r w:rsidRPr="001D7E03">
        <w:rPr>
          <w:rFonts w:ascii="Calibri" w:eastAsia="Aptos" w:hAnsi="Calibri" w:cs="Calibri"/>
          <w:color w:val="000000" w:themeColor="text1"/>
          <w:sz w:val="20"/>
          <w:szCs w:val="20"/>
          <w:lang w:val="it-IT"/>
        </w:rPr>
        <w:t>Per ulteriori informazioni, visitate il sito: www.sony.eu/presscentre</w:t>
      </w:r>
    </w:p>
    <w:p w14:paraId="3A5FBFF0" w14:textId="77777777" w:rsidR="001D7E03" w:rsidRPr="001D7E03" w:rsidRDefault="001D7E03" w:rsidP="001D7E03">
      <w:pPr>
        <w:rPr>
          <w:b/>
          <w:bCs/>
        </w:rPr>
      </w:pPr>
      <w:r w:rsidRPr="001D7E03">
        <w:rPr>
          <w:b/>
          <w:bCs/>
        </w:rPr>
        <w:t>Contatti stampa:</w:t>
      </w:r>
    </w:p>
    <w:p w14:paraId="03BB9936" w14:textId="4716FFE2" w:rsidR="00CB6B7E" w:rsidRDefault="001D7E03" w:rsidP="00E05BCE">
      <w:r>
        <w:t>Elena Giffoni | PR Sony Pro</w:t>
      </w:r>
      <w:r>
        <w:br/>
        <w:t>Professional Solutions Europe, a Division of Sony Europe B.V.</w:t>
      </w:r>
      <w:r>
        <w:br/>
      </w:r>
      <w:hyperlink r:id="rId13" w:history="1">
        <w:r w:rsidRPr="00E92F5B">
          <w:rPr>
            <w:rStyle w:val="Collegamentoipertestuale"/>
          </w:rPr>
          <w:t>elena.giffoni@sony.com</w:t>
        </w:r>
      </w:hyperlink>
      <w:r>
        <w:br/>
      </w:r>
      <w:hyperlink r:id="rId14" w:history="1">
        <w:r w:rsidRPr="00E92F5B">
          <w:rPr>
            <w:rStyle w:val="Collegamentoipertestuale"/>
          </w:rPr>
          <w:t>elena.giffoni@giffonipr.com</w:t>
        </w:r>
      </w:hyperlink>
      <w:r>
        <w:br/>
        <w:t>+39 3472626681</w:t>
      </w:r>
    </w:p>
    <w:sectPr w:rsidR="00CB6B7E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6D546" w14:textId="77777777" w:rsidR="00031692" w:rsidRDefault="00031692" w:rsidP="002A1910">
      <w:pPr>
        <w:spacing w:after="0" w:line="240" w:lineRule="auto"/>
      </w:pPr>
      <w:r>
        <w:separator/>
      </w:r>
    </w:p>
  </w:endnote>
  <w:endnote w:type="continuationSeparator" w:id="0">
    <w:p w14:paraId="338CD635" w14:textId="77777777" w:rsidR="00031692" w:rsidRDefault="00031692" w:rsidP="002A1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5731" w14:textId="77777777" w:rsidR="00031692" w:rsidRDefault="00031692" w:rsidP="002A1910">
      <w:pPr>
        <w:spacing w:after="0" w:line="240" w:lineRule="auto"/>
      </w:pPr>
      <w:r>
        <w:separator/>
      </w:r>
    </w:p>
  </w:footnote>
  <w:footnote w:type="continuationSeparator" w:id="0">
    <w:p w14:paraId="13E72C22" w14:textId="77777777" w:rsidR="00031692" w:rsidRDefault="00031692" w:rsidP="002A1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ABA9" w14:textId="6D75A3AB" w:rsidR="002A1910" w:rsidRPr="00CB50C6" w:rsidRDefault="002A1910" w:rsidP="002A1910">
    <w:pPr>
      <w:pStyle w:val="Titolo1"/>
      <w:spacing w:before="0" w:after="120"/>
      <w:rPr>
        <w:rFonts w:ascii="Calibri" w:eastAsia="Calibri" w:hAnsi="Calibri" w:cs="Calibri"/>
        <w:color w:val="141413"/>
        <w:sz w:val="24"/>
        <w:szCs w:val="24"/>
        <w:lang w:val="it-IT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ED21159" wp14:editId="7BF041E5">
          <wp:simplePos x="0" y="0"/>
          <wp:positionH relativeFrom="column">
            <wp:posOffset>4102100</wp:posOffset>
          </wp:positionH>
          <wp:positionV relativeFrom="paragraph">
            <wp:posOffset>-158750</wp:posOffset>
          </wp:positionV>
          <wp:extent cx="1581150" cy="571500"/>
          <wp:effectExtent l="0" t="0" r="0" b="0"/>
          <wp:wrapSquare wrapText="bothSides"/>
          <wp:docPr id="1167483018" name="drawing" title="C:\Users\7000015957\AppData\Local\Microsoft\Windows\Temporary Internet Files\Content.Word\sony_logo_black_RGB.PNG">
            <a:extLst xmlns:a="http://schemas.openxmlformats.org/drawingml/2006/main">
              <a:ext uri="{FF2B5EF4-FFF2-40B4-BE49-F238E27FC236}">
                <a16:creationId xmlns:a16="http://schemas.microsoft.com/office/drawing/2014/main" id="{50153ADF-DA53-4EEF-A9E6-02A62EAEA5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878575" name="Picture 6538785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50C6">
      <w:rPr>
        <w:rFonts w:ascii="Calibri" w:eastAsia="Calibri" w:hAnsi="Calibri" w:cs="Calibri"/>
        <w:color w:val="141413"/>
        <w:sz w:val="24"/>
        <w:szCs w:val="24"/>
        <w:lang w:val="it-IT"/>
      </w:rPr>
      <w:t>COMUNICATO STAMPA</w:t>
    </w:r>
  </w:p>
  <w:p w14:paraId="0D92EB1E" w14:textId="2BE43944" w:rsidR="002A1910" w:rsidRDefault="002A1910">
    <w:pPr>
      <w:pStyle w:val="Intestazione"/>
    </w:pPr>
  </w:p>
  <w:p w14:paraId="75CF68E3" w14:textId="77777777" w:rsidR="002A1910" w:rsidRDefault="002A19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D4824"/>
    <w:multiLevelType w:val="multilevel"/>
    <w:tmpl w:val="7C66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A5F5924"/>
    <w:multiLevelType w:val="multilevel"/>
    <w:tmpl w:val="146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7597296">
    <w:abstractNumId w:val="1"/>
  </w:num>
  <w:num w:numId="2" w16cid:durableId="177524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0D"/>
    <w:rsid w:val="00004096"/>
    <w:rsid w:val="00031692"/>
    <w:rsid w:val="000A506C"/>
    <w:rsid w:val="000B719B"/>
    <w:rsid w:val="001D4118"/>
    <w:rsid w:val="001D7E03"/>
    <w:rsid w:val="001F0252"/>
    <w:rsid w:val="00233FE0"/>
    <w:rsid w:val="002A1910"/>
    <w:rsid w:val="00490693"/>
    <w:rsid w:val="00516258"/>
    <w:rsid w:val="00517613"/>
    <w:rsid w:val="005476E4"/>
    <w:rsid w:val="0057470C"/>
    <w:rsid w:val="005A3231"/>
    <w:rsid w:val="005B4B84"/>
    <w:rsid w:val="005C17F5"/>
    <w:rsid w:val="005F5E32"/>
    <w:rsid w:val="00606D2B"/>
    <w:rsid w:val="00617CC1"/>
    <w:rsid w:val="00647548"/>
    <w:rsid w:val="00685DDB"/>
    <w:rsid w:val="006A1425"/>
    <w:rsid w:val="006D5B82"/>
    <w:rsid w:val="00716689"/>
    <w:rsid w:val="0073420A"/>
    <w:rsid w:val="00737BFF"/>
    <w:rsid w:val="0076472E"/>
    <w:rsid w:val="007903E6"/>
    <w:rsid w:val="007B57F6"/>
    <w:rsid w:val="00833BDB"/>
    <w:rsid w:val="00895DD3"/>
    <w:rsid w:val="008A707E"/>
    <w:rsid w:val="008B2775"/>
    <w:rsid w:val="008E5A0B"/>
    <w:rsid w:val="0090162A"/>
    <w:rsid w:val="009470C9"/>
    <w:rsid w:val="00952694"/>
    <w:rsid w:val="009B57D5"/>
    <w:rsid w:val="00A43C9E"/>
    <w:rsid w:val="00AA6638"/>
    <w:rsid w:val="00AD5856"/>
    <w:rsid w:val="00AD7DC4"/>
    <w:rsid w:val="00B23231"/>
    <w:rsid w:val="00B35172"/>
    <w:rsid w:val="00B42325"/>
    <w:rsid w:val="00B43D18"/>
    <w:rsid w:val="00B56FD8"/>
    <w:rsid w:val="00C57778"/>
    <w:rsid w:val="00CB6B7E"/>
    <w:rsid w:val="00CE1EC1"/>
    <w:rsid w:val="00CF6043"/>
    <w:rsid w:val="00D12CF7"/>
    <w:rsid w:val="00D23713"/>
    <w:rsid w:val="00D35073"/>
    <w:rsid w:val="00D97BD1"/>
    <w:rsid w:val="00DD6E53"/>
    <w:rsid w:val="00E05BCE"/>
    <w:rsid w:val="00E14E8F"/>
    <w:rsid w:val="00E67A42"/>
    <w:rsid w:val="00E74E0D"/>
    <w:rsid w:val="00EB0480"/>
    <w:rsid w:val="00EC710F"/>
    <w:rsid w:val="00ED2600"/>
    <w:rsid w:val="00ED2A09"/>
    <w:rsid w:val="00F00ED9"/>
    <w:rsid w:val="00F62B10"/>
    <w:rsid w:val="00FC6AEB"/>
    <w:rsid w:val="067DFEE5"/>
    <w:rsid w:val="087AD44C"/>
    <w:rsid w:val="0E9EB5E0"/>
    <w:rsid w:val="0F38221B"/>
    <w:rsid w:val="134B76BA"/>
    <w:rsid w:val="1B1BE120"/>
    <w:rsid w:val="1C1EC6B6"/>
    <w:rsid w:val="2619B2E4"/>
    <w:rsid w:val="26DE1123"/>
    <w:rsid w:val="278D9B48"/>
    <w:rsid w:val="4FBE5A3B"/>
    <w:rsid w:val="5A818DC5"/>
    <w:rsid w:val="5C6C3012"/>
    <w:rsid w:val="5CC4C1D3"/>
    <w:rsid w:val="5EEC5EA5"/>
    <w:rsid w:val="5FBB6D2E"/>
    <w:rsid w:val="6A7C21D5"/>
    <w:rsid w:val="6D6D31D5"/>
    <w:rsid w:val="6F0A8B48"/>
    <w:rsid w:val="708F7E5F"/>
    <w:rsid w:val="70EFC4C2"/>
    <w:rsid w:val="710CD746"/>
    <w:rsid w:val="72A16845"/>
    <w:rsid w:val="75DABA1D"/>
    <w:rsid w:val="78E55B2E"/>
    <w:rsid w:val="7BBBD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AF4E"/>
  <w15:chartTrackingRefBased/>
  <w15:docId w15:val="{99D66C9E-19AE-40F7-93DB-0CD355D3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7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74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7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7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74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74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74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74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7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74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7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74E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74E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74E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74E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74E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74E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74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7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7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7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7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74E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74E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74E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7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74E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74E0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33BD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33BD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A1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1910"/>
  </w:style>
  <w:style w:type="paragraph" w:styleId="Pidipagina">
    <w:name w:val="footer"/>
    <w:basedOn w:val="Normale"/>
    <w:link w:val="PidipaginaCarattere"/>
    <w:uiPriority w:val="99"/>
    <w:unhideWhenUsed/>
    <w:rsid w:val="002A19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lena.giffoni@sony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ro.sony/pl_PL/products/pro-displays/fw-50bz30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ro.sony/pl_PL/products/pro-displays/fw-65bz30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lena.giffoni@giffonip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286f09-3438-4b93-afea-8f26a824a680">
      <Terms xmlns="http://schemas.microsoft.com/office/infopath/2007/PartnerControls"/>
    </lcf76f155ced4ddcb4097134ff3c332f>
    <TaxCatchAll xmlns="e13061ff-0311-4b3a-90c7-28269fd286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44D6DCD6C9B4080CF30E6262CBF93" ma:contentTypeVersion="19" ma:contentTypeDescription="Create a new document." ma:contentTypeScope="" ma:versionID="73600fb2bfba28b6823f040520739efe">
  <xsd:schema xmlns:xsd="http://www.w3.org/2001/XMLSchema" xmlns:xs="http://www.w3.org/2001/XMLSchema" xmlns:p="http://schemas.microsoft.com/office/2006/metadata/properties" xmlns:ns2="9d286f09-3438-4b93-afea-8f26a824a680" xmlns:ns3="e13061ff-0311-4b3a-90c7-28269fd28624" targetNamespace="http://schemas.microsoft.com/office/2006/metadata/properties" ma:root="true" ma:fieldsID="80b2d499accb5faf64745decbd6cc5eb" ns2:_="" ns3:_="">
    <xsd:import namespace="9d286f09-3438-4b93-afea-8f26a824a680"/>
    <xsd:import namespace="e13061ff-0311-4b3a-90c7-28269fd286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86f09-3438-4b93-afea-8f26a824a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b9d403-1823-4ec6-b2f2-250b7876d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061ff-0311-4b3a-90c7-28269fd2862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ee1329c-483a-4f3a-bfc9-2fbbb82e2629}" ma:internalName="TaxCatchAll" ma:showField="CatchAllData" ma:web="e13061ff-0311-4b3a-90c7-28269fd286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00EEC-421B-4540-95B2-97F27DD4B660}">
  <ds:schemaRefs>
    <ds:schemaRef ds:uri="http://schemas.microsoft.com/office/2006/metadata/properties"/>
    <ds:schemaRef ds:uri="http://schemas.microsoft.com/office/infopath/2007/PartnerControls"/>
    <ds:schemaRef ds:uri="9d286f09-3438-4b93-afea-8f26a824a680"/>
    <ds:schemaRef ds:uri="e13061ff-0311-4b3a-90c7-28269fd28624"/>
  </ds:schemaRefs>
</ds:datastoreItem>
</file>

<file path=customXml/itemProps2.xml><?xml version="1.0" encoding="utf-8"?>
<ds:datastoreItem xmlns:ds="http://schemas.openxmlformats.org/officeDocument/2006/customXml" ds:itemID="{C1C8D70D-FA68-4267-9432-EDC0E4B3E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86f09-3438-4b93-afea-8f26a824a680"/>
    <ds:schemaRef ds:uri="e13061ff-0311-4b3a-90c7-28269fd286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8C618D-2178-4C10-AD72-4CCDB839EE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f8e20e6-048a-4bad-a26b-318dd1cd4d47}" enabled="1" method="Privileged" siteId="{66c65d8a-9158-4521-a2d8-664963db48e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Błachnio - Mendygrał</dc:creator>
  <cp:keywords>docId:60E2363C2E1A8EE50AC81FBDE0D56877</cp:keywords>
  <dc:description/>
  <cp:lastModifiedBy>Elena Giffoni</cp:lastModifiedBy>
  <cp:revision>13</cp:revision>
  <dcterms:created xsi:type="dcterms:W3CDTF">2026-06-29T12:23:00Z</dcterms:created>
  <dcterms:modified xsi:type="dcterms:W3CDTF">2026-08-26T16:07:00Z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0x01010097444D6DCD6C9B4080CF30E6262CBF93</vt:lpwstr>
  </property>
  <property fmtid="{D5CDD505-2E9C-101B-9397-08002B2CF9AE}" pid="3" name="MediaServiceImageTags">
    <vt:lpwstr/>
  </property>
</Properties>
</file>