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558FF" w14:textId="77777777" w:rsidR="005173CF" w:rsidRDefault="005173CF" w:rsidP="00684B61"/>
    <w:p w14:paraId="4DEC08A3" w14:textId="74128788" w:rsidR="00684B61" w:rsidRPr="00D13C4C" w:rsidRDefault="00684B61" w:rsidP="00E908EC">
      <w:pPr>
        <w:jc w:val="center"/>
        <w:rPr>
          <w:b/>
          <w:sz w:val="36"/>
          <w:szCs w:val="36"/>
          <w:lang w:val="it-IT"/>
        </w:rPr>
      </w:pPr>
      <w:r w:rsidRPr="00D13C4C">
        <w:rPr>
          <w:b/>
          <w:sz w:val="36"/>
          <w:szCs w:val="36"/>
          <w:lang w:val="it-IT"/>
        </w:rPr>
        <w:t xml:space="preserve">Sony e Reuters presentano in anteprima mondiale* un flusso di lavoro </w:t>
      </w:r>
      <w:r w:rsidR="00F3575D" w:rsidRPr="00D13C4C">
        <w:rPr>
          <w:b/>
          <w:sz w:val="36"/>
          <w:szCs w:val="36"/>
          <w:lang w:val="it-IT"/>
        </w:rPr>
        <w:t>redazionale</w:t>
      </w:r>
      <w:r w:rsidRPr="00D13C4C">
        <w:rPr>
          <w:b/>
          <w:sz w:val="36"/>
          <w:szCs w:val="36"/>
          <w:lang w:val="it-IT"/>
        </w:rPr>
        <w:t xml:space="preserve"> quasi in tempo reale per proteggere l’autenticità dei contenuti</w:t>
      </w:r>
    </w:p>
    <w:p w14:paraId="3232C8E0" w14:textId="7F6EEA3C" w:rsidR="009D0346" w:rsidRPr="00684B61" w:rsidRDefault="009D0346" w:rsidP="00E908EC">
      <w:pPr>
        <w:jc w:val="center"/>
        <w:rPr>
          <w:b/>
        </w:rPr>
      </w:pPr>
      <w:r>
        <w:rPr>
          <w:b/>
          <w:noProof/>
        </w:rPr>
        <w:drawing>
          <wp:inline distT="0" distB="0" distL="0" distR="0" wp14:anchorId="5D1CF38F" wp14:editId="3EEC280D">
            <wp:extent cx="3386138" cy="1216624"/>
            <wp:effectExtent l="0" t="0" r="0" b="0"/>
            <wp:docPr id="1989906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906863" name="Picture 1989906863"/>
                    <pic:cNvPicPr/>
                  </pic:nvPicPr>
                  <pic:blipFill>
                    <a:blip r:embed="rId9">
                      <a:extLst>
                        <a:ext uri="{28A0092B-C50C-407E-A947-70E740481C1C}">
                          <a14:useLocalDpi xmlns:a14="http://schemas.microsoft.com/office/drawing/2010/main" val="0"/>
                        </a:ext>
                      </a:extLst>
                    </a:blip>
                    <a:stretch>
                      <a:fillRect/>
                    </a:stretch>
                  </pic:blipFill>
                  <pic:spPr>
                    <a:xfrm>
                      <a:off x="0" y="0"/>
                      <a:ext cx="3404344" cy="1223165"/>
                    </a:xfrm>
                    <a:prstGeom prst="rect">
                      <a:avLst/>
                    </a:prstGeom>
                  </pic:spPr>
                </pic:pic>
              </a:graphicData>
            </a:graphic>
          </wp:inline>
        </w:drawing>
      </w:r>
    </w:p>
    <w:p w14:paraId="4D8F395B" w14:textId="19619669" w:rsidR="00C81608" w:rsidRPr="005173CF" w:rsidRDefault="008751B6" w:rsidP="00684B61">
      <w:pPr>
        <w:rPr>
          <w:lang w:val="it-IT"/>
        </w:rPr>
      </w:pPr>
      <w:r w:rsidRPr="005173CF">
        <w:rPr>
          <w:b/>
          <w:bCs/>
          <w:lang w:val="it-IT"/>
        </w:rPr>
        <w:t>Weybridge, Regno Unito</w:t>
      </w:r>
      <w:r>
        <w:rPr>
          <w:b/>
          <w:bCs/>
          <w:lang w:val="it-IT"/>
        </w:rPr>
        <w:t>, 8</w:t>
      </w:r>
      <w:r w:rsidRPr="005173CF">
        <w:rPr>
          <w:b/>
          <w:bCs/>
          <w:vertAlign w:val="superscript"/>
          <w:lang w:val="it-IT"/>
        </w:rPr>
        <w:t xml:space="preserve"> </w:t>
      </w:r>
      <w:r w:rsidR="00684B61" w:rsidRPr="005173CF">
        <w:rPr>
          <w:b/>
          <w:bCs/>
          <w:lang w:val="it-IT"/>
        </w:rPr>
        <w:t>settembre 2026</w:t>
      </w:r>
      <w:r>
        <w:rPr>
          <w:b/>
          <w:bCs/>
          <w:lang w:val="it-IT"/>
        </w:rPr>
        <w:t xml:space="preserve"> -</w:t>
      </w:r>
      <w:r w:rsidR="00684B61" w:rsidRPr="005173CF">
        <w:rPr>
          <w:b/>
          <w:bCs/>
          <w:lang w:val="it-IT"/>
        </w:rPr>
        <w:t xml:space="preserve"> </w:t>
      </w:r>
      <w:r w:rsidR="00C81608" w:rsidRPr="00C81608">
        <w:rPr>
          <w:lang w:val="it-IT"/>
        </w:rPr>
        <w:t>Di fronte alla crescente necessità delle testate giornalistiche di verificare l'origine e l'integrità dei contenuti visivi, Sony e Reuters uniscono le forze per presentare, all'IBC 2026, il primo flusso di lavoro redazionale al mondo in grado di preservare l'autenticità dei contenuti quasi in tempo reale, combinando gli standard C2PA (</w:t>
      </w:r>
      <w:proofErr w:type="spellStart"/>
      <w:r w:rsidR="00C81608" w:rsidRPr="00C81608">
        <w:rPr>
          <w:lang w:val="it-IT"/>
        </w:rPr>
        <w:t>Coalition</w:t>
      </w:r>
      <w:proofErr w:type="spellEnd"/>
      <w:r w:rsidR="00C81608" w:rsidRPr="00C81608">
        <w:rPr>
          <w:lang w:val="it-IT"/>
        </w:rPr>
        <w:t xml:space="preserve"> for Content </w:t>
      </w:r>
      <w:proofErr w:type="spellStart"/>
      <w:r w:rsidR="00C81608" w:rsidRPr="00C81608">
        <w:rPr>
          <w:lang w:val="it-IT"/>
        </w:rPr>
        <w:t>Provenance</w:t>
      </w:r>
      <w:proofErr w:type="spellEnd"/>
      <w:r w:rsidR="00C81608" w:rsidRPr="00C81608">
        <w:rPr>
          <w:lang w:val="it-IT"/>
        </w:rPr>
        <w:t xml:space="preserve"> and </w:t>
      </w:r>
      <w:proofErr w:type="spellStart"/>
      <w:r w:rsidR="00C81608" w:rsidRPr="00C81608">
        <w:rPr>
          <w:lang w:val="it-IT"/>
        </w:rPr>
        <w:t>Authenticity</w:t>
      </w:r>
      <w:proofErr w:type="spellEnd"/>
      <w:r w:rsidR="00C81608" w:rsidRPr="00C81608">
        <w:rPr>
          <w:lang w:val="it-IT"/>
        </w:rPr>
        <w:t>) e TAMS (Time-</w:t>
      </w:r>
      <w:proofErr w:type="spellStart"/>
      <w:r w:rsidR="00C81608" w:rsidRPr="00C81608">
        <w:rPr>
          <w:lang w:val="it-IT"/>
        </w:rPr>
        <w:t>Addressable</w:t>
      </w:r>
      <w:proofErr w:type="spellEnd"/>
      <w:r w:rsidR="00C81608" w:rsidRPr="00C81608">
        <w:rPr>
          <w:lang w:val="it-IT"/>
        </w:rPr>
        <w:t xml:space="preserve"> Media Store).</w:t>
      </w:r>
    </w:p>
    <w:p w14:paraId="423D75F4" w14:textId="2C5CF0E9" w:rsidR="00684B61" w:rsidRPr="005173CF" w:rsidRDefault="00684B61" w:rsidP="00684B61">
      <w:pPr>
        <w:rPr>
          <w:lang w:val="it-IT" w:eastAsia="ja-JP"/>
        </w:rPr>
      </w:pPr>
      <w:r w:rsidRPr="005173CF">
        <w:rPr>
          <w:lang w:val="it-IT"/>
        </w:rPr>
        <w:t>Partendo dal traguardo raggiunto lo scorso anno — quando Sony ha presentato la prima videocamera al mondo, la PXW-Z300, in grado di registrare metadati C2PA direttamente nei file video — le due aziende hanno sviluppato un flusso di lavoro end-to-end che preserva l’autenticità dei contenuti dall’acquisizione fino alla distribuzione.</w:t>
      </w:r>
    </w:p>
    <w:p w14:paraId="4AE2DDB1" w14:textId="0A5A0FBF" w:rsidR="00684B61" w:rsidRPr="005173CF" w:rsidRDefault="00684B61" w:rsidP="00684B61">
      <w:pPr>
        <w:rPr>
          <w:lang w:val="it-IT" w:eastAsia="ja-JP"/>
        </w:rPr>
      </w:pPr>
      <w:r w:rsidRPr="005173CF">
        <w:rPr>
          <w:lang w:val="it-IT"/>
        </w:rPr>
        <w:t xml:space="preserve">Il contributo di Sony garantisce che le informazioni C2PA vengano acquisite e registrate al momento delle </w:t>
      </w:r>
      <w:r w:rsidR="000B0ABE" w:rsidRPr="005173CF">
        <w:rPr>
          <w:lang w:val="it-IT"/>
        </w:rPr>
        <w:t xml:space="preserve">riprese e </w:t>
      </w:r>
      <w:r w:rsidR="001E7B49" w:rsidRPr="005173CF">
        <w:rPr>
          <w:lang w:val="it-IT"/>
        </w:rPr>
        <w:t xml:space="preserve">preservate durante </w:t>
      </w:r>
      <w:r w:rsidRPr="005173CF">
        <w:rPr>
          <w:lang w:val="it-IT"/>
        </w:rPr>
        <w:t>il trasferimento dei file quasi in tempo reale. Questi dati vengono poi trasmessi a un archivio TAMS realizzato secondo le specifiche V8.2, che definiscono come gestire i segmenti MP4 frammentati preservando al contempo le informazioni C2PA incorporate.</w:t>
      </w:r>
    </w:p>
    <w:p w14:paraId="7C5FB726" w14:textId="57FFCA65" w:rsidR="00684B61" w:rsidRPr="005173CF" w:rsidRDefault="00684B61" w:rsidP="00684B61">
      <w:pPr>
        <w:rPr>
          <w:lang w:val="it-IT"/>
        </w:rPr>
      </w:pPr>
      <w:r w:rsidRPr="005173CF">
        <w:rPr>
          <w:lang w:val="it-IT"/>
        </w:rPr>
        <w:t xml:space="preserve">Reuters apporta al flusso di lavoro le proprie capacità editoriali </w:t>
      </w:r>
      <w:r w:rsidR="006D5917" w:rsidRPr="005173CF">
        <w:rPr>
          <w:lang w:val="it-IT"/>
        </w:rPr>
        <w:t xml:space="preserve">e di distribuzione </w:t>
      </w:r>
      <w:r w:rsidRPr="005173CF">
        <w:rPr>
          <w:lang w:val="it-IT"/>
        </w:rPr>
        <w:t>leader del settore</w:t>
      </w:r>
      <w:r w:rsidR="006D5917" w:rsidRPr="005173CF">
        <w:rPr>
          <w:lang w:val="it-IT"/>
        </w:rPr>
        <w:t xml:space="preserve">, recuperando </w:t>
      </w:r>
      <w:r w:rsidR="00F653B0" w:rsidRPr="005173CF">
        <w:rPr>
          <w:lang w:val="it-IT"/>
        </w:rPr>
        <w:t xml:space="preserve">da TAMS </w:t>
      </w:r>
      <w:r w:rsidRPr="005173CF">
        <w:rPr>
          <w:lang w:val="it-IT"/>
        </w:rPr>
        <w:t xml:space="preserve">i </w:t>
      </w:r>
      <w:r w:rsidR="006C1BA4" w:rsidRPr="005173CF">
        <w:rPr>
          <w:lang w:val="it-IT"/>
        </w:rPr>
        <w:t>segmenti</w:t>
      </w:r>
      <w:r w:rsidRPr="005173CF">
        <w:rPr>
          <w:lang w:val="it-IT"/>
        </w:rPr>
        <w:t xml:space="preserve"> di file quasi in tempo reale insieme ai relativi dati C2PA </w:t>
      </w:r>
      <w:r w:rsidR="00245B8E" w:rsidRPr="005173CF">
        <w:rPr>
          <w:lang w:val="it-IT"/>
        </w:rPr>
        <w:t xml:space="preserve">per l’editing </w:t>
      </w:r>
      <w:r w:rsidRPr="005173CF">
        <w:rPr>
          <w:lang w:val="it-IT"/>
        </w:rPr>
        <w:t xml:space="preserve">e </w:t>
      </w:r>
      <w:r w:rsidR="00245B8E" w:rsidRPr="005173CF">
        <w:rPr>
          <w:lang w:val="it-IT"/>
        </w:rPr>
        <w:t xml:space="preserve">il packaging su </w:t>
      </w:r>
      <w:r w:rsidR="006C1BA4" w:rsidRPr="005173CF">
        <w:rPr>
          <w:lang w:val="it-IT"/>
        </w:rPr>
        <w:t>piattaforme</w:t>
      </w:r>
      <w:r w:rsidRPr="005173CF">
        <w:rPr>
          <w:lang w:val="it-IT"/>
        </w:rPr>
        <w:t xml:space="preserve"> compatibili</w:t>
      </w:r>
      <w:r w:rsidR="00AE3E17" w:rsidRPr="005173CF">
        <w:rPr>
          <w:lang w:val="it-IT"/>
        </w:rPr>
        <w:t xml:space="preserve">, </w:t>
      </w:r>
      <w:r w:rsidRPr="005173CF">
        <w:rPr>
          <w:lang w:val="it-IT"/>
        </w:rPr>
        <w:t xml:space="preserve">tra cui Media Backbone </w:t>
      </w:r>
      <w:proofErr w:type="spellStart"/>
      <w:r w:rsidRPr="005173CF">
        <w:rPr>
          <w:lang w:val="it-IT"/>
        </w:rPr>
        <w:t>Hive</w:t>
      </w:r>
      <w:proofErr w:type="spellEnd"/>
      <w:r w:rsidRPr="005173CF">
        <w:rPr>
          <w:lang w:val="it-IT"/>
        </w:rPr>
        <w:t xml:space="preserve">. </w:t>
      </w:r>
    </w:p>
    <w:p w14:paraId="62913909" w14:textId="10D00316" w:rsidR="007E322F" w:rsidRPr="005173CF" w:rsidRDefault="00684B61" w:rsidP="00140B6D">
      <w:pPr>
        <w:rPr>
          <w:lang w:val="it-IT"/>
        </w:rPr>
      </w:pPr>
      <w:r w:rsidRPr="005173CF">
        <w:rPr>
          <w:lang w:val="it-IT"/>
        </w:rPr>
        <w:t xml:space="preserve">Il vantaggio chiave di questo approccio congiunto risiede nella combinazione del trasferimento di file quasi in tempo reale </w:t>
      </w:r>
      <w:r w:rsidR="0092080C" w:rsidRPr="005173CF">
        <w:rPr>
          <w:rFonts w:hint="eastAsia"/>
          <w:lang w:val="it-IT" w:eastAsia="ja-JP"/>
        </w:rPr>
        <w:t>e</w:t>
      </w:r>
      <w:r w:rsidRPr="005173CF">
        <w:rPr>
          <w:lang w:val="it-IT"/>
        </w:rPr>
        <w:t xml:space="preserve"> di un flusso di lavoro di autenticazione completamente integrato. </w:t>
      </w:r>
      <w:r w:rsidR="007E322F" w:rsidRPr="005173CF">
        <w:rPr>
          <w:lang w:val="it-IT"/>
        </w:rPr>
        <w:t xml:space="preserve">Le informazioni C2PA vengono acquisite e trasferite continuamente dal momento della registrazione, stabilendo una catena di autenticità affidabile che copre le fasi di montaggio e confezionamento fino alla distribuzione. La </w:t>
      </w:r>
      <w:r w:rsidR="007E322F" w:rsidRPr="005173CF">
        <w:rPr>
          <w:lang w:val="it-IT"/>
        </w:rPr>
        <w:lastRenderedPageBreak/>
        <w:t>filigranatura garantisce il recupero delle informazioni C2PA originali anche in caso di rimozione dei metadati.</w:t>
      </w:r>
    </w:p>
    <w:p w14:paraId="41579F05" w14:textId="639CDE9C" w:rsidR="00C840FA" w:rsidRPr="005173CF" w:rsidRDefault="00684B61" w:rsidP="00140B6D">
      <w:pPr>
        <w:rPr>
          <w:lang w:val="it-IT" w:eastAsia="ja-JP"/>
        </w:rPr>
      </w:pPr>
      <w:r w:rsidRPr="005173CF">
        <w:rPr>
          <w:lang w:val="it-IT"/>
        </w:rPr>
        <w:t>Joe Delshadian, direttore della distribuzione dei contenuti</w:t>
      </w:r>
      <w:r w:rsidR="005649A0">
        <w:rPr>
          <w:lang w:val="it-IT"/>
        </w:rPr>
        <w:t xml:space="preserve">, </w:t>
      </w:r>
      <w:r w:rsidRPr="005173CF">
        <w:rPr>
          <w:lang w:val="it-IT"/>
        </w:rPr>
        <w:t>Reuters, afferma</w:t>
      </w:r>
      <w:r w:rsidR="003234CF" w:rsidRPr="005173CF">
        <w:rPr>
          <w:lang w:val="it-IT"/>
        </w:rPr>
        <w:t>:</w:t>
      </w:r>
      <w:r w:rsidR="005649A0">
        <w:rPr>
          <w:lang w:val="it-IT" w:eastAsia="ja-JP"/>
        </w:rPr>
        <w:t xml:space="preserve"> </w:t>
      </w:r>
      <w:r w:rsidR="00140B6D" w:rsidRPr="005173CF">
        <w:rPr>
          <w:lang w:val="it-IT"/>
        </w:rPr>
        <w:t xml:space="preserve">"Gli standard aperti come il C2PA sono essenziali, ma funzionano solo se le informazioni sopravvivono al percorso dalla telecamera al cliente. La filigranatura ci offre un modo per recuperare tale provenienza anche se i metadati vengono rimossi lungo il percorso. Insieme a Sony e ai nostri partner di montaggio di </w:t>
      </w:r>
      <w:proofErr w:type="spellStart"/>
      <w:r w:rsidR="00140B6D" w:rsidRPr="005173CF">
        <w:rPr>
          <w:lang w:val="it-IT"/>
        </w:rPr>
        <w:t>Hive</w:t>
      </w:r>
      <w:proofErr w:type="spellEnd"/>
      <w:r w:rsidR="00140B6D" w:rsidRPr="005173CF">
        <w:rPr>
          <w:lang w:val="it-IT"/>
        </w:rPr>
        <w:t>, stiamo dimostrando una catena di autenticità realmente end-to-end e dando ai nostri clienti la certezza che ciò che stanno vedendo è contenuto autentico di Reuters."</w:t>
      </w:r>
    </w:p>
    <w:p w14:paraId="0C615CB7" w14:textId="78E64ED7" w:rsidR="00684B61" w:rsidRPr="005173CF" w:rsidRDefault="00684B61" w:rsidP="00684B61">
      <w:pPr>
        <w:rPr>
          <w:lang w:val="it-IT"/>
        </w:rPr>
      </w:pPr>
      <w:proofErr w:type="spellStart"/>
      <w:r w:rsidRPr="005173CF">
        <w:rPr>
          <w:lang w:val="it-IT"/>
        </w:rPr>
        <w:t>Ryoichi</w:t>
      </w:r>
      <w:proofErr w:type="spellEnd"/>
      <w:r w:rsidRPr="005173CF">
        <w:rPr>
          <w:lang w:val="it-IT"/>
        </w:rPr>
        <w:t xml:space="preserve"> Sakuragi, responsabile del settore News Solution Business</w:t>
      </w:r>
      <w:r w:rsidR="00051CB9">
        <w:rPr>
          <w:lang w:val="it-IT"/>
        </w:rPr>
        <w:t xml:space="preserve">, </w:t>
      </w:r>
      <w:r w:rsidRPr="005173CF">
        <w:rPr>
          <w:lang w:val="it-IT"/>
        </w:rPr>
        <w:t>Sony Corporation</w:t>
      </w:r>
      <w:r w:rsidR="003234CF" w:rsidRPr="005173CF">
        <w:rPr>
          <w:lang w:val="it-IT"/>
        </w:rPr>
        <w:t>,</w:t>
      </w:r>
      <w:r w:rsidRPr="005173CF">
        <w:rPr>
          <w:lang w:val="it-IT"/>
        </w:rPr>
        <w:t xml:space="preserve"> afferma</w:t>
      </w:r>
      <w:r w:rsidR="003234CF" w:rsidRPr="005173CF">
        <w:rPr>
          <w:lang w:val="it-IT"/>
        </w:rPr>
        <w:t xml:space="preserve">: </w:t>
      </w:r>
      <w:r w:rsidRPr="005173CF">
        <w:rPr>
          <w:lang w:val="it-IT"/>
        </w:rPr>
        <w:t xml:space="preserve">“Affinché le tecnologie di autenticità abbiano un impatto significativo nel giornalismo, devono funzionare all’interno delle reali operazioni di redazione, non solo al momento dell’acquisizione. Insieme a Reuters, abbiamo dimostrato un flusso di lavoro in cui le informazioni di autenticità possono essere preservate e trasmesse attraverso processi di trasferimento dei file e di produzione quasi in tempo reale. Ciò rappresenta una pietra miliare significativa verso l’integrazione di flussi di lavoro affidabili nella raccolta e nella distribuzione quotidiana delle notizie.” </w:t>
      </w:r>
    </w:p>
    <w:p w14:paraId="2E18F0F2" w14:textId="6D085F66" w:rsidR="00684B61" w:rsidRPr="005173CF" w:rsidRDefault="00684B61" w:rsidP="00684B61">
      <w:pPr>
        <w:rPr>
          <w:lang w:val="it-IT"/>
        </w:rPr>
      </w:pPr>
      <w:r w:rsidRPr="005173CF">
        <w:rPr>
          <w:lang w:val="it-IT"/>
        </w:rPr>
        <w:t xml:space="preserve">Sony e Reuters ritengono che ciò segni un passo significativo verso la conservazione end-to-end dei metadati C2PA lungo l’intero flusso di lavoro giornalistico, aiutando i giornalisti e le testate di tutto il mondo </w:t>
      </w:r>
      <w:r w:rsidR="00A72760" w:rsidRPr="005173CF">
        <w:rPr>
          <w:lang w:val="it-IT"/>
        </w:rPr>
        <w:t xml:space="preserve">a verificare l’autenticità e la provenienza dei </w:t>
      </w:r>
      <w:r w:rsidR="00B47B78" w:rsidRPr="005173CF">
        <w:rPr>
          <w:lang w:val="it-IT"/>
        </w:rPr>
        <w:t xml:space="preserve">contenuti visivi, dall’acquisizione alla distribuzione. </w:t>
      </w:r>
    </w:p>
    <w:p w14:paraId="0DE0337E" w14:textId="77777777" w:rsidR="00684B61" w:rsidRPr="005173CF" w:rsidRDefault="00684B61" w:rsidP="00684B61">
      <w:pPr>
        <w:rPr>
          <w:lang w:val="it-IT"/>
        </w:rPr>
      </w:pPr>
      <w:r w:rsidRPr="005173CF">
        <w:rPr>
          <w:lang w:val="it-IT"/>
        </w:rPr>
        <w:t xml:space="preserve">Questo flusso di lavoro sarà presentato in esclusiva durante l’IBC (11–14 settembre) presso il RAI di Amsterdam, allo stand Sony (Padiglione 13) e allo stand Reuters (Padiglione 5). </w:t>
      </w:r>
    </w:p>
    <w:p w14:paraId="6D24341D" w14:textId="77777777" w:rsidR="00684B61" w:rsidRPr="005173CF" w:rsidRDefault="00684B61" w:rsidP="00684B61">
      <w:pPr>
        <w:rPr>
          <w:lang w:val="it-IT"/>
        </w:rPr>
      </w:pPr>
    </w:p>
    <w:p w14:paraId="20F01BBC" w14:textId="77777777" w:rsidR="00684B61" w:rsidRPr="005173CF" w:rsidRDefault="00684B61" w:rsidP="00684B61">
      <w:pPr>
        <w:rPr>
          <w:lang w:val="it-IT"/>
        </w:rPr>
      </w:pPr>
      <w:r w:rsidRPr="005173CF">
        <w:rPr>
          <w:lang w:val="it-IT"/>
        </w:rPr>
        <w:t xml:space="preserve">Per ulteriori dettagli su C2PA, visitare il sito: </w:t>
      </w:r>
      <w:hyperlink r:id="rId10" w:history="1">
        <w:proofErr w:type="spellStart"/>
        <w:r w:rsidRPr="005173CF">
          <w:rPr>
            <w:rStyle w:val="Collegamentoipertestuale"/>
            <w:lang w:val="it-IT"/>
          </w:rPr>
          <w:t>Coalition</w:t>
        </w:r>
        <w:proofErr w:type="spellEnd"/>
        <w:r w:rsidRPr="005173CF">
          <w:rPr>
            <w:rStyle w:val="Collegamentoipertestuale"/>
            <w:lang w:val="it-IT"/>
          </w:rPr>
          <w:t xml:space="preserve"> for Content </w:t>
        </w:r>
        <w:proofErr w:type="spellStart"/>
        <w:r w:rsidRPr="005173CF">
          <w:rPr>
            <w:rStyle w:val="Collegamentoipertestuale"/>
            <w:lang w:val="it-IT"/>
          </w:rPr>
          <w:t>Provenance</w:t>
        </w:r>
        <w:proofErr w:type="spellEnd"/>
        <w:r w:rsidRPr="005173CF">
          <w:rPr>
            <w:rStyle w:val="Collegamentoipertestuale"/>
            <w:lang w:val="it-IT"/>
          </w:rPr>
          <w:t xml:space="preserve"> and </w:t>
        </w:r>
        <w:proofErr w:type="spellStart"/>
        <w:r w:rsidRPr="005173CF">
          <w:rPr>
            <w:rStyle w:val="Collegamentoipertestuale"/>
            <w:lang w:val="it-IT"/>
          </w:rPr>
          <w:t>Authenticity</w:t>
        </w:r>
        <w:proofErr w:type="spellEnd"/>
      </w:hyperlink>
    </w:p>
    <w:p w14:paraId="3664B96A" w14:textId="77777777" w:rsidR="00684B61" w:rsidRPr="005173CF" w:rsidRDefault="00684B61" w:rsidP="00684B61">
      <w:pPr>
        <w:rPr>
          <w:lang w:val="it-IT"/>
        </w:rPr>
      </w:pPr>
      <w:r w:rsidRPr="005173CF">
        <w:rPr>
          <w:lang w:val="it-IT"/>
        </w:rPr>
        <w:t xml:space="preserve">Per ulteriori informazioni su TAMS, visitare: </w:t>
      </w:r>
      <w:hyperlink r:id="rId11" w:history="1">
        <w:r w:rsidRPr="005173CF">
          <w:rPr>
            <w:rStyle w:val="Collegamentoipertestuale"/>
            <w:lang w:val="it-IT"/>
          </w:rPr>
          <w:t xml:space="preserve">Time </w:t>
        </w:r>
        <w:proofErr w:type="spellStart"/>
        <w:r w:rsidRPr="005173CF">
          <w:rPr>
            <w:rStyle w:val="Collegamentoipertestuale"/>
            <w:lang w:val="it-IT"/>
          </w:rPr>
          <w:t>Addressable</w:t>
        </w:r>
        <w:proofErr w:type="spellEnd"/>
        <w:r w:rsidRPr="005173CF">
          <w:rPr>
            <w:rStyle w:val="Collegamentoipertestuale"/>
            <w:lang w:val="it-IT"/>
          </w:rPr>
          <w:t xml:space="preserve"> Media Store</w:t>
        </w:r>
      </w:hyperlink>
    </w:p>
    <w:p w14:paraId="5CAB4EDE" w14:textId="77777777" w:rsidR="00DC28BB" w:rsidRPr="005173CF" w:rsidRDefault="00DC28BB" w:rsidP="00DC28BB">
      <w:pPr>
        <w:rPr>
          <w:rFonts w:ascii="MS Mincho" w:eastAsia="MS Mincho" w:hAnsi="MS Mincho" w:cs="MS Mincho"/>
          <w:lang w:val="it-IT" w:eastAsia="ja-JP"/>
        </w:rPr>
      </w:pPr>
    </w:p>
    <w:p w14:paraId="3835D243" w14:textId="046DAAD3" w:rsidR="00684B61" w:rsidRPr="005173CF" w:rsidRDefault="00DC28BB" w:rsidP="00A025DF">
      <w:pPr>
        <w:rPr>
          <w:lang w:val="it-IT"/>
        </w:rPr>
      </w:pPr>
      <w:r w:rsidRPr="005173CF">
        <w:rPr>
          <w:lang w:val="it-IT"/>
        </w:rPr>
        <w:t xml:space="preserve">*In base a una ricerca condotta da Sony, </w:t>
      </w:r>
      <w:r w:rsidR="00684B61" w:rsidRPr="005173CF">
        <w:rPr>
          <w:lang w:val="it-IT"/>
        </w:rPr>
        <w:t>si tratta del primo flusso di lavoro in redazione quasi in tempo reale che integra i metadati C2PA e la tecnologia TAMS.</w:t>
      </w:r>
    </w:p>
    <w:p w14:paraId="165D51CF" w14:textId="77777777" w:rsidR="00F7388D" w:rsidRDefault="00F7388D">
      <w:pPr>
        <w:rPr>
          <w:lang w:val="it-IT"/>
        </w:rPr>
      </w:pPr>
    </w:p>
    <w:p w14:paraId="05B8472D" w14:textId="77777777" w:rsidR="003F62DB" w:rsidRPr="002758EF" w:rsidRDefault="003F62DB" w:rsidP="003F62DB">
      <w:pPr>
        <w:spacing w:after="120" w:line="300" w:lineRule="auto"/>
        <w:rPr>
          <w:rFonts w:ascii="Calibri" w:eastAsia="Calibri" w:hAnsi="Calibri" w:cs="Calibri"/>
          <w:color w:val="000000" w:themeColor="text1"/>
          <w:lang w:val="it-IT"/>
        </w:rPr>
      </w:pPr>
      <w:r w:rsidRPr="002758EF">
        <w:rPr>
          <w:rFonts w:ascii="Calibri" w:eastAsia="Calibri" w:hAnsi="Calibri" w:cs="Calibri"/>
          <w:b/>
          <w:bCs/>
          <w:color w:val="000000" w:themeColor="text1"/>
          <w:lang w:val="it-IT"/>
        </w:rPr>
        <w:t>Informazioni su Sony Corporation</w:t>
      </w:r>
    </w:p>
    <w:p w14:paraId="098F4691" w14:textId="77777777" w:rsidR="003F62DB" w:rsidRPr="002758EF" w:rsidRDefault="003F62DB" w:rsidP="003F62DB">
      <w:pPr>
        <w:spacing w:after="120" w:line="300" w:lineRule="auto"/>
        <w:rPr>
          <w:rFonts w:ascii="Calibri" w:eastAsia="Calibri" w:hAnsi="Calibri" w:cs="Calibri"/>
          <w:color w:val="000000" w:themeColor="text1"/>
          <w:lang w:val="it-IT"/>
        </w:rPr>
      </w:pPr>
      <w:r w:rsidRPr="002758EF">
        <w:rPr>
          <w:rFonts w:ascii="Calibri" w:eastAsia="Calibri" w:hAnsi="Calibri" w:cs="Calibri"/>
          <w:color w:val="000000" w:themeColor="text1"/>
          <w:lang w:val="it-IT"/>
        </w:rPr>
        <w:lastRenderedPageBreak/>
        <w:t>Sony Corporation è una controllata al 100% di Sony Group Corporation ed è responsabile del settore Entertainment, Technology &amp; Services (ET&amp;S). Con la missione di “creare il futuro dell’intrattenimento attraverso il potere della tecnologia insieme ai creatori”, miriamo a continuare a offrire Kando* alle persone di tutto il mondo. Per ulteriori informazioni, visita:</w:t>
      </w:r>
      <w:hyperlink r:id="rId12">
        <w:r w:rsidRPr="002758EF">
          <w:rPr>
            <w:rStyle w:val="Collegamentoipertestuale"/>
            <w:lang w:val="it-IT"/>
          </w:rPr>
          <w:t xml:space="preserve"> http://www.sony.net/</w:t>
        </w:r>
      </w:hyperlink>
    </w:p>
    <w:p w14:paraId="5892EB83" w14:textId="77777777" w:rsidR="003F62DB" w:rsidRDefault="003F62DB" w:rsidP="003F62DB">
      <w:pPr>
        <w:spacing w:after="120" w:line="300" w:lineRule="auto"/>
        <w:rPr>
          <w:rFonts w:ascii="Calibri" w:eastAsia="Calibri" w:hAnsi="Calibri" w:cs="Calibri"/>
          <w:i/>
          <w:iCs/>
          <w:color w:val="000000" w:themeColor="text1"/>
          <w:lang w:val="it-IT"/>
        </w:rPr>
      </w:pPr>
      <w:r w:rsidRPr="002758EF">
        <w:rPr>
          <w:rFonts w:ascii="Calibri" w:eastAsia="Calibri" w:hAnsi="Calibri" w:cs="Calibri"/>
          <w:i/>
          <w:iCs/>
          <w:color w:val="000000" w:themeColor="text1"/>
          <w:lang w:val="it-IT"/>
        </w:rPr>
        <w:t>"Kando" è una parola giapponese che si traduce approssimativamente con il senso di stupore ed emozione che si prova quando si sperimenta per la prima volta qualcosa di bello e straordinario.</w:t>
      </w:r>
    </w:p>
    <w:p w14:paraId="1761DB55" w14:textId="77777777" w:rsidR="003F62DB" w:rsidRPr="002758EF" w:rsidRDefault="003F62DB" w:rsidP="003F62DB">
      <w:pPr>
        <w:spacing w:after="120" w:line="300" w:lineRule="auto"/>
        <w:rPr>
          <w:rFonts w:ascii="Calibri" w:eastAsia="Calibri" w:hAnsi="Calibri" w:cs="Calibri"/>
          <w:color w:val="000000" w:themeColor="text1"/>
          <w:lang w:val="it-IT"/>
        </w:rPr>
      </w:pPr>
    </w:p>
    <w:p w14:paraId="2027FE15" w14:textId="77777777" w:rsidR="003F62DB" w:rsidRPr="002758EF" w:rsidRDefault="003F62DB" w:rsidP="003F62DB">
      <w:pPr>
        <w:spacing w:after="120" w:line="300" w:lineRule="auto"/>
        <w:rPr>
          <w:rFonts w:ascii="Calibri" w:eastAsia="Calibri" w:hAnsi="Calibri" w:cs="Calibri"/>
          <w:color w:val="000000" w:themeColor="text1"/>
          <w:lang w:val="it-IT"/>
        </w:rPr>
      </w:pPr>
      <w:r w:rsidRPr="002758EF">
        <w:rPr>
          <w:rFonts w:ascii="Calibri" w:eastAsia="Calibri" w:hAnsi="Calibri" w:cs="Calibri"/>
          <w:b/>
          <w:bCs/>
          <w:color w:val="000000" w:themeColor="text1"/>
          <w:lang w:val="it-IT"/>
        </w:rPr>
        <w:t>Informazioni su Sony Europe B.V.</w:t>
      </w:r>
    </w:p>
    <w:p w14:paraId="394B39EE" w14:textId="77777777" w:rsidR="003F62DB" w:rsidRPr="002758EF" w:rsidRDefault="003F62DB" w:rsidP="003F62DB">
      <w:pPr>
        <w:spacing w:after="120" w:line="300" w:lineRule="auto"/>
        <w:rPr>
          <w:rFonts w:ascii="Calibri" w:eastAsia="Calibri" w:hAnsi="Calibri" w:cs="Calibri"/>
          <w:color w:val="000000" w:themeColor="text1"/>
          <w:lang w:val="it-IT"/>
        </w:rPr>
      </w:pPr>
      <w:r w:rsidRPr="002758EF">
        <w:rPr>
          <w:rFonts w:ascii="Calibri" w:eastAsia="Calibri" w:hAnsi="Calibri" w:cs="Calibri"/>
          <w:color w:val="000000" w:themeColor="text1"/>
          <w:lang w:val="it-IT"/>
        </w:rPr>
        <w:t>Sony Europe B.V. è una controllata di Sony Corporation con sede nel Regno Unito. Guidiamo le attività leader di Sony nei settori Entertainment, Technology &amp; Services per i mercati consumer e professionali, nonché il settore Imaging &amp; Sensing Solutions in tutta Europa. Dalla ricerca e sviluppo all’ingegneria, dal design alle vendite, al marketing, alla distribuzione e al servizio clienti, lavoriamo per realizzare lo scopo di Sony: riempire il mondo di emozioni attraverso il potere della creatività e della tecnologia.</w:t>
      </w:r>
    </w:p>
    <w:p w14:paraId="15FA322F" w14:textId="77777777" w:rsidR="003F62DB" w:rsidRPr="002758EF" w:rsidRDefault="003F62DB" w:rsidP="003F62DB">
      <w:pPr>
        <w:spacing w:after="120" w:line="300" w:lineRule="auto"/>
        <w:rPr>
          <w:lang w:val="it-IT"/>
        </w:rPr>
      </w:pPr>
      <w:r w:rsidRPr="002758EF">
        <w:rPr>
          <w:rFonts w:ascii="Calibri" w:eastAsia="Calibri" w:hAnsi="Calibri" w:cs="Calibri"/>
          <w:color w:val="000000" w:themeColor="text1"/>
          <w:lang w:val="it-IT"/>
        </w:rPr>
        <w:t xml:space="preserve">Per ulteriori informazioni, visita: </w:t>
      </w:r>
      <w:hyperlink r:id="rId13">
        <w:r w:rsidRPr="002758EF">
          <w:rPr>
            <w:rStyle w:val="Collegamentoipertestuale"/>
            <w:lang w:val="it-IT"/>
          </w:rPr>
          <w:t>www.sony.eu/presscentre</w:t>
        </w:r>
      </w:hyperlink>
    </w:p>
    <w:p w14:paraId="3A63FCEE" w14:textId="77777777" w:rsidR="003F62DB" w:rsidRPr="002758EF" w:rsidRDefault="003F62DB" w:rsidP="003F62DB">
      <w:pPr>
        <w:spacing w:after="120" w:line="300" w:lineRule="auto"/>
        <w:rPr>
          <w:lang w:val="it-IT"/>
        </w:rPr>
      </w:pPr>
    </w:p>
    <w:p w14:paraId="28EB17B8" w14:textId="77777777" w:rsidR="003F62DB" w:rsidRPr="002F6159" w:rsidRDefault="003F62DB" w:rsidP="003F62DB">
      <w:pPr>
        <w:spacing w:after="120" w:line="240" w:lineRule="auto"/>
        <w:rPr>
          <w:rFonts w:ascii="Calibri" w:eastAsia="Calibri" w:hAnsi="Calibri" w:cs="Calibri"/>
          <w:color w:val="000000" w:themeColor="text1"/>
          <w:lang w:val="es-ES"/>
        </w:rPr>
      </w:pPr>
      <w:r w:rsidRPr="002F6159">
        <w:rPr>
          <w:rFonts w:ascii="Calibri" w:eastAsia="Calibri" w:hAnsi="Calibri" w:cs="Calibri"/>
          <w:b/>
          <w:bCs/>
          <w:color w:val="000000" w:themeColor="text1"/>
          <w:lang w:val="es-ES"/>
        </w:rPr>
        <w:t>Contatti stampa:</w:t>
      </w:r>
      <w:r w:rsidRPr="002F6159">
        <w:rPr>
          <w:rFonts w:ascii="Calibri" w:eastAsia="Calibri" w:hAnsi="Calibri" w:cs="Calibri"/>
          <w:b/>
          <w:bCs/>
          <w:color w:val="000000" w:themeColor="text1"/>
          <w:lang w:val="es-ES"/>
        </w:rPr>
        <w:br/>
      </w:r>
      <w:r w:rsidRPr="002F6159">
        <w:rPr>
          <w:rFonts w:ascii="Calibri" w:eastAsia="Calibri" w:hAnsi="Calibri" w:cs="Calibri"/>
          <w:color w:val="000000" w:themeColor="text1"/>
          <w:lang w:val="es-ES"/>
        </w:rPr>
        <w:t>Elena Giffoni | PR Sony Pro</w:t>
      </w:r>
      <w:r w:rsidRPr="002F6159">
        <w:rPr>
          <w:rFonts w:ascii="Calibri" w:eastAsia="Calibri" w:hAnsi="Calibri" w:cs="Calibri"/>
          <w:color w:val="000000" w:themeColor="text1"/>
          <w:lang w:val="es-ES"/>
        </w:rPr>
        <w:br/>
        <w:t>Professional Solutions Europe, a Division of Sony Europe B.V.</w:t>
      </w:r>
      <w:r w:rsidRPr="002F6159">
        <w:rPr>
          <w:rFonts w:ascii="Calibri" w:eastAsia="Calibri" w:hAnsi="Calibri" w:cs="Calibri"/>
          <w:color w:val="000000" w:themeColor="text1"/>
          <w:lang w:val="es-ES"/>
        </w:rPr>
        <w:br/>
      </w:r>
      <w:hyperlink r:id="rId14" w:history="1">
        <w:r w:rsidRPr="002F6159">
          <w:rPr>
            <w:rStyle w:val="Collegamentoipertestuale"/>
            <w:rFonts w:ascii="Calibri" w:eastAsia="Calibri" w:hAnsi="Calibri" w:cs="Calibri"/>
            <w:lang w:val="es-ES"/>
          </w:rPr>
          <w:t>elena.giffoni@sony.com</w:t>
        </w:r>
      </w:hyperlink>
      <w:r w:rsidRPr="002F6159">
        <w:rPr>
          <w:rFonts w:ascii="Calibri" w:eastAsia="Calibri" w:hAnsi="Calibri" w:cs="Calibri"/>
          <w:color w:val="000000" w:themeColor="text1"/>
          <w:lang w:val="es-ES"/>
        </w:rPr>
        <w:br/>
      </w:r>
      <w:hyperlink r:id="rId15" w:history="1">
        <w:r w:rsidRPr="002F6159">
          <w:rPr>
            <w:rStyle w:val="Collegamentoipertestuale"/>
            <w:rFonts w:ascii="Calibri" w:eastAsia="Calibri" w:hAnsi="Calibri" w:cs="Calibri"/>
            <w:lang w:val="es-ES"/>
          </w:rPr>
          <w:t>elena.giffoni@giffonipr.com</w:t>
        </w:r>
      </w:hyperlink>
      <w:r w:rsidRPr="002F6159">
        <w:rPr>
          <w:rFonts w:ascii="Calibri" w:eastAsia="Calibri" w:hAnsi="Calibri" w:cs="Calibri"/>
          <w:color w:val="000000" w:themeColor="text1"/>
          <w:lang w:val="es-ES"/>
        </w:rPr>
        <w:br/>
        <w:t>+39 3472626681</w:t>
      </w:r>
    </w:p>
    <w:p w14:paraId="5DF9BED7" w14:textId="77777777" w:rsidR="003F62DB" w:rsidRPr="002F6159" w:rsidRDefault="003F62DB" w:rsidP="003F62DB">
      <w:pPr>
        <w:spacing w:after="120" w:line="300" w:lineRule="auto"/>
        <w:rPr>
          <w:rFonts w:ascii="Calibri" w:eastAsia="Calibri" w:hAnsi="Calibri" w:cs="Calibri"/>
          <w:color w:val="000000" w:themeColor="text1"/>
          <w:lang w:val="es-ES"/>
        </w:rPr>
      </w:pPr>
    </w:p>
    <w:p w14:paraId="511B2581" w14:textId="77777777" w:rsidR="003F62DB" w:rsidRPr="002F6159" w:rsidRDefault="003F62DB" w:rsidP="003F62DB">
      <w:pPr>
        <w:spacing w:after="120" w:line="300" w:lineRule="auto"/>
        <w:rPr>
          <w:rFonts w:ascii="Calibri" w:eastAsia="Calibri" w:hAnsi="Calibri" w:cs="Calibri"/>
          <w:color w:val="000000" w:themeColor="text1"/>
          <w:lang w:val="es-ES"/>
        </w:rPr>
      </w:pPr>
    </w:p>
    <w:p w14:paraId="7CE868A7" w14:textId="77777777" w:rsidR="003F62DB" w:rsidRPr="003F62DB" w:rsidRDefault="003F62DB">
      <w:pPr>
        <w:rPr>
          <w:lang w:val="es-ES"/>
        </w:rPr>
      </w:pPr>
    </w:p>
    <w:sectPr w:rsidR="003F62DB" w:rsidRPr="003F62DB">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DF1E2" w14:textId="77777777" w:rsidR="003C34DA" w:rsidRDefault="003C34DA" w:rsidP="005173CF">
      <w:pPr>
        <w:spacing w:after="0" w:line="240" w:lineRule="auto"/>
      </w:pPr>
      <w:r>
        <w:separator/>
      </w:r>
    </w:p>
  </w:endnote>
  <w:endnote w:type="continuationSeparator" w:id="0">
    <w:p w14:paraId="79C598CF" w14:textId="77777777" w:rsidR="003C34DA" w:rsidRDefault="003C34DA" w:rsidP="00517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D084C" w14:textId="77777777" w:rsidR="003C34DA" w:rsidRDefault="003C34DA" w:rsidP="005173CF">
      <w:pPr>
        <w:spacing w:after="0" w:line="240" w:lineRule="auto"/>
      </w:pPr>
      <w:r>
        <w:separator/>
      </w:r>
    </w:p>
  </w:footnote>
  <w:footnote w:type="continuationSeparator" w:id="0">
    <w:p w14:paraId="04FE053C" w14:textId="77777777" w:rsidR="003C34DA" w:rsidRDefault="003C34DA" w:rsidP="005173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E859F" w14:textId="4790894C" w:rsidR="005173CF" w:rsidRPr="00CB50C6" w:rsidRDefault="005173CF" w:rsidP="005173CF">
    <w:pPr>
      <w:pStyle w:val="Titolo1"/>
      <w:spacing w:before="0" w:after="120"/>
      <w:rPr>
        <w:rFonts w:ascii="Calibri" w:eastAsia="Calibri" w:hAnsi="Calibri" w:cs="Calibri"/>
        <w:color w:val="141413"/>
        <w:sz w:val="24"/>
        <w:szCs w:val="24"/>
      </w:rPr>
    </w:pPr>
    <w:r>
      <w:rPr>
        <w:noProof/>
      </w:rPr>
      <w:drawing>
        <wp:anchor distT="0" distB="0" distL="114300" distR="114300" simplePos="0" relativeHeight="251659264" behindDoc="0" locked="0" layoutInCell="1" allowOverlap="1" wp14:anchorId="60F67206" wp14:editId="69814C42">
          <wp:simplePos x="0" y="0"/>
          <wp:positionH relativeFrom="column">
            <wp:posOffset>4102100</wp:posOffset>
          </wp:positionH>
          <wp:positionV relativeFrom="paragraph">
            <wp:posOffset>-158750</wp:posOffset>
          </wp:positionV>
          <wp:extent cx="1581150" cy="571500"/>
          <wp:effectExtent l="0" t="0" r="0" b="0"/>
          <wp:wrapSquare wrapText="bothSides"/>
          <wp:docPr id="1167483018" name="drawing" title="C:\Users\7000015957\AppData\Local\Microsoft\Windows\Temporary Internet Files\Content.Word\sony_logo_black_RGB.PNG">
            <a:extLst xmlns:a="http://schemas.openxmlformats.org/drawingml/2006/main">
              <a:ext uri="{FF2B5EF4-FFF2-40B4-BE49-F238E27FC236}">
                <a16:creationId xmlns:a16="http://schemas.microsoft.com/office/drawing/2014/main" id="{50153ADF-DA53-4EEF-A9E6-02A62EAEA5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878575" name="Picture 653878575"/>
                  <pic:cNvPicPr/>
                </pic:nvPicPr>
                <pic:blipFill>
                  <a:blip r:embed="rId1">
                    <a:extLst>
                      <a:ext uri="{28A0092B-C50C-407E-A947-70E740481C1C}">
                        <a14:useLocalDpi xmlns:a14="http://schemas.microsoft.com/office/drawing/2010/main"/>
                      </a:ext>
                    </a:extLst>
                  </a:blip>
                  <a:stretch>
                    <a:fillRect/>
                  </a:stretch>
                </pic:blipFill>
                <pic:spPr>
                  <a:xfrm>
                    <a:off x="0" y="0"/>
                    <a:ext cx="1581150" cy="571500"/>
                  </a:xfrm>
                  <a:prstGeom prst="rect">
                    <a:avLst/>
                  </a:prstGeom>
                </pic:spPr>
              </pic:pic>
            </a:graphicData>
          </a:graphic>
          <wp14:sizeRelH relativeFrom="page">
            <wp14:pctWidth>0</wp14:pctWidth>
          </wp14:sizeRelH>
          <wp14:sizeRelV relativeFrom="page">
            <wp14:pctHeight>0</wp14:pctHeight>
          </wp14:sizeRelV>
        </wp:anchor>
      </w:drawing>
    </w:r>
    <w:r w:rsidRPr="00CB50C6">
      <w:rPr>
        <w:rFonts w:ascii="Calibri" w:eastAsia="Calibri" w:hAnsi="Calibri" w:cs="Calibri"/>
        <w:color w:val="141413"/>
        <w:sz w:val="24"/>
        <w:szCs w:val="24"/>
      </w:rPr>
      <w:t>COMUNICATO STAMPA</w:t>
    </w:r>
  </w:p>
  <w:p w14:paraId="1A124469" w14:textId="5F227287" w:rsidR="005173CF" w:rsidRDefault="005173CF">
    <w:pPr>
      <w:pStyle w:val="Intestazione"/>
    </w:pPr>
  </w:p>
  <w:p w14:paraId="30E4E05C" w14:textId="77777777" w:rsidR="005173CF" w:rsidRDefault="005173CF">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B61"/>
    <w:rsid w:val="00051CB9"/>
    <w:rsid w:val="00085CF0"/>
    <w:rsid w:val="000B0ABE"/>
    <w:rsid w:val="000D0194"/>
    <w:rsid w:val="00124EBF"/>
    <w:rsid w:val="001358DA"/>
    <w:rsid w:val="00140B6D"/>
    <w:rsid w:val="0014399A"/>
    <w:rsid w:val="00170540"/>
    <w:rsid w:val="001B5AB4"/>
    <w:rsid w:val="001D1FF6"/>
    <w:rsid w:val="001E7B49"/>
    <w:rsid w:val="00245B8E"/>
    <w:rsid w:val="0030585E"/>
    <w:rsid w:val="003234CF"/>
    <w:rsid w:val="003307A4"/>
    <w:rsid w:val="00352031"/>
    <w:rsid w:val="00363C05"/>
    <w:rsid w:val="00374986"/>
    <w:rsid w:val="00377A99"/>
    <w:rsid w:val="00382810"/>
    <w:rsid w:val="0039230F"/>
    <w:rsid w:val="003C34DA"/>
    <w:rsid w:val="003D480C"/>
    <w:rsid w:val="003F62DB"/>
    <w:rsid w:val="004222E7"/>
    <w:rsid w:val="00470BB1"/>
    <w:rsid w:val="004856C3"/>
    <w:rsid w:val="004A38F3"/>
    <w:rsid w:val="004D2FC1"/>
    <w:rsid w:val="005173CF"/>
    <w:rsid w:val="00553820"/>
    <w:rsid w:val="005649A0"/>
    <w:rsid w:val="00582C4D"/>
    <w:rsid w:val="0061560D"/>
    <w:rsid w:val="006708DF"/>
    <w:rsid w:val="006824E2"/>
    <w:rsid w:val="00684B61"/>
    <w:rsid w:val="00694D7D"/>
    <w:rsid w:val="006A204A"/>
    <w:rsid w:val="006C1BA4"/>
    <w:rsid w:val="006D52E0"/>
    <w:rsid w:val="006D5917"/>
    <w:rsid w:val="00710D5D"/>
    <w:rsid w:val="007141A9"/>
    <w:rsid w:val="00733E29"/>
    <w:rsid w:val="007B3B0E"/>
    <w:rsid w:val="007B6F42"/>
    <w:rsid w:val="007C5FEF"/>
    <w:rsid w:val="007E0C9B"/>
    <w:rsid w:val="007E322F"/>
    <w:rsid w:val="00824C18"/>
    <w:rsid w:val="008751B6"/>
    <w:rsid w:val="00883504"/>
    <w:rsid w:val="008A2880"/>
    <w:rsid w:val="008D4309"/>
    <w:rsid w:val="00913E12"/>
    <w:rsid w:val="0092080C"/>
    <w:rsid w:val="009B47B1"/>
    <w:rsid w:val="009D0346"/>
    <w:rsid w:val="00A025DF"/>
    <w:rsid w:val="00A33CB7"/>
    <w:rsid w:val="00A61800"/>
    <w:rsid w:val="00A72760"/>
    <w:rsid w:val="00AA7773"/>
    <w:rsid w:val="00AE3E17"/>
    <w:rsid w:val="00B47B78"/>
    <w:rsid w:val="00B639C2"/>
    <w:rsid w:val="00B63CC9"/>
    <w:rsid w:val="00BF3778"/>
    <w:rsid w:val="00C0043C"/>
    <w:rsid w:val="00C437A0"/>
    <w:rsid w:val="00C81608"/>
    <w:rsid w:val="00C840FA"/>
    <w:rsid w:val="00C84353"/>
    <w:rsid w:val="00CC5CAE"/>
    <w:rsid w:val="00D00EAD"/>
    <w:rsid w:val="00D13C4C"/>
    <w:rsid w:val="00D25FB5"/>
    <w:rsid w:val="00D30E24"/>
    <w:rsid w:val="00D578C7"/>
    <w:rsid w:val="00DC28BB"/>
    <w:rsid w:val="00DE0C37"/>
    <w:rsid w:val="00E17D54"/>
    <w:rsid w:val="00E260A5"/>
    <w:rsid w:val="00E908EC"/>
    <w:rsid w:val="00EB1AD6"/>
    <w:rsid w:val="00EC1CAE"/>
    <w:rsid w:val="00EE3656"/>
    <w:rsid w:val="00EF6479"/>
    <w:rsid w:val="00F3575D"/>
    <w:rsid w:val="00F36746"/>
    <w:rsid w:val="00F653B0"/>
    <w:rsid w:val="00F7388D"/>
    <w:rsid w:val="00F916EE"/>
    <w:rsid w:val="00FA1C81"/>
    <w:rsid w:val="00FC27B1"/>
    <w:rsid w:val="00FD07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D6F6D"/>
  <w15:chartTrackingRefBased/>
  <w15:docId w15:val="{7DCEBE08-AEFC-42D2-895E-A16DD9349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84B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84B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84B6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84B6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84B6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84B6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84B6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84B6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84B6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84B6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84B6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84B6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84B6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84B6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84B6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84B6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84B6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84B61"/>
    <w:rPr>
      <w:rFonts w:eastAsiaTheme="majorEastAsia" w:cstheme="majorBidi"/>
      <w:color w:val="272727" w:themeColor="text1" w:themeTint="D8"/>
    </w:rPr>
  </w:style>
  <w:style w:type="paragraph" w:styleId="Titolo">
    <w:name w:val="Title"/>
    <w:basedOn w:val="Normale"/>
    <w:next w:val="Normale"/>
    <w:link w:val="TitoloCarattere"/>
    <w:uiPriority w:val="10"/>
    <w:qFormat/>
    <w:rsid w:val="00684B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84B6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84B6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84B6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84B6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84B61"/>
    <w:rPr>
      <w:i/>
      <w:iCs/>
      <w:color w:val="404040" w:themeColor="text1" w:themeTint="BF"/>
    </w:rPr>
  </w:style>
  <w:style w:type="paragraph" w:styleId="Paragrafoelenco">
    <w:name w:val="List Paragraph"/>
    <w:basedOn w:val="Normale"/>
    <w:uiPriority w:val="34"/>
    <w:qFormat/>
    <w:rsid w:val="00684B61"/>
    <w:pPr>
      <w:ind w:left="720"/>
      <w:contextualSpacing/>
    </w:pPr>
  </w:style>
  <w:style w:type="character" w:styleId="Enfasiintensa">
    <w:name w:val="Intense Emphasis"/>
    <w:basedOn w:val="Carpredefinitoparagrafo"/>
    <w:uiPriority w:val="21"/>
    <w:qFormat/>
    <w:rsid w:val="00684B61"/>
    <w:rPr>
      <w:i/>
      <w:iCs/>
      <w:color w:val="0F4761" w:themeColor="accent1" w:themeShade="BF"/>
    </w:rPr>
  </w:style>
  <w:style w:type="paragraph" w:styleId="Citazioneintensa">
    <w:name w:val="Intense Quote"/>
    <w:basedOn w:val="Normale"/>
    <w:next w:val="Normale"/>
    <w:link w:val="CitazioneintensaCarattere"/>
    <w:uiPriority w:val="30"/>
    <w:qFormat/>
    <w:rsid w:val="00684B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84B61"/>
    <w:rPr>
      <w:i/>
      <w:iCs/>
      <w:color w:val="0F4761" w:themeColor="accent1" w:themeShade="BF"/>
    </w:rPr>
  </w:style>
  <w:style w:type="character" w:styleId="Riferimentointenso">
    <w:name w:val="Intense Reference"/>
    <w:basedOn w:val="Carpredefinitoparagrafo"/>
    <w:uiPriority w:val="32"/>
    <w:qFormat/>
    <w:rsid w:val="00684B61"/>
    <w:rPr>
      <w:b/>
      <w:bCs/>
      <w:smallCaps/>
      <w:color w:val="0F4761" w:themeColor="accent1" w:themeShade="BF"/>
      <w:spacing w:val="5"/>
    </w:rPr>
  </w:style>
  <w:style w:type="character" w:styleId="Collegamentoipertestuale">
    <w:name w:val="Hyperlink"/>
    <w:basedOn w:val="Carpredefinitoparagrafo"/>
    <w:uiPriority w:val="99"/>
    <w:unhideWhenUsed/>
    <w:rsid w:val="00684B61"/>
    <w:rPr>
      <w:color w:val="467886" w:themeColor="hyperlink"/>
      <w:u w:val="single"/>
    </w:rPr>
  </w:style>
  <w:style w:type="character" w:styleId="Menzionenonrisolta">
    <w:name w:val="Unresolved Mention"/>
    <w:basedOn w:val="Carpredefinitoparagrafo"/>
    <w:uiPriority w:val="99"/>
    <w:semiHidden/>
    <w:unhideWhenUsed/>
    <w:rsid w:val="00684B61"/>
    <w:rPr>
      <w:color w:val="605E5C"/>
      <w:shd w:val="clear" w:color="auto" w:fill="E1DFDD"/>
    </w:rPr>
  </w:style>
  <w:style w:type="paragraph" w:styleId="Revisione">
    <w:name w:val="Revision"/>
    <w:hidden/>
    <w:uiPriority w:val="99"/>
    <w:semiHidden/>
    <w:rsid w:val="00374986"/>
    <w:pPr>
      <w:spacing w:after="0" w:line="240" w:lineRule="auto"/>
    </w:pPr>
  </w:style>
  <w:style w:type="character" w:styleId="Rimandocommento">
    <w:name w:val="annotation reference"/>
    <w:basedOn w:val="Carpredefinitoparagrafo"/>
    <w:uiPriority w:val="99"/>
    <w:semiHidden/>
    <w:unhideWhenUsed/>
    <w:rsid w:val="007B6F42"/>
    <w:rPr>
      <w:sz w:val="16"/>
      <w:szCs w:val="16"/>
    </w:rPr>
  </w:style>
  <w:style w:type="paragraph" w:styleId="Testocommento">
    <w:name w:val="annotation text"/>
    <w:basedOn w:val="Normale"/>
    <w:link w:val="TestocommentoCarattere"/>
    <w:uiPriority w:val="99"/>
    <w:unhideWhenUsed/>
    <w:rsid w:val="007B6F42"/>
    <w:pPr>
      <w:spacing w:line="240" w:lineRule="auto"/>
    </w:pPr>
    <w:rPr>
      <w:sz w:val="20"/>
      <w:szCs w:val="20"/>
    </w:rPr>
  </w:style>
  <w:style w:type="character" w:customStyle="1" w:styleId="TestocommentoCarattere">
    <w:name w:val="Testo commento Carattere"/>
    <w:basedOn w:val="Carpredefinitoparagrafo"/>
    <w:link w:val="Testocommento"/>
    <w:uiPriority w:val="99"/>
    <w:rsid w:val="007B6F42"/>
    <w:rPr>
      <w:sz w:val="20"/>
      <w:szCs w:val="20"/>
    </w:rPr>
  </w:style>
  <w:style w:type="paragraph" w:styleId="Soggettocommento">
    <w:name w:val="annotation subject"/>
    <w:basedOn w:val="Testocommento"/>
    <w:next w:val="Testocommento"/>
    <w:link w:val="SoggettocommentoCarattere"/>
    <w:uiPriority w:val="99"/>
    <w:semiHidden/>
    <w:unhideWhenUsed/>
    <w:rsid w:val="007B6F42"/>
    <w:rPr>
      <w:b/>
      <w:bCs/>
    </w:rPr>
  </w:style>
  <w:style w:type="character" w:customStyle="1" w:styleId="SoggettocommentoCarattere">
    <w:name w:val="Soggetto commento Carattere"/>
    <w:basedOn w:val="TestocommentoCarattere"/>
    <w:link w:val="Soggettocommento"/>
    <w:uiPriority w:val="99"/>
    <w:semiHidden/>
    <w:rsid w:val="007B6F42"/>
    <w:rPr>
      <w:b/>
      <w:bCs/>
      <w:sz w:val="20"/>
      <w:szCs w:val="20"/>
    </w:rPr>
  </w:style>
  <w:style w:type="paragraph" w:styleId="Intestazione">
    <w:name w:val="header"/>
    <w:basedOn w:val="Normale"/>
    <w:link w:val="IntestazioneCarattere"/>
    <w:uiPriority w:val="99"/>
    <w:unhideWhenUsed/>
    <w:rsid w:val="005173C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173CF"/>
  </w:style>
  <w:style w:type="paragraph" w:styleId="Pidipagina">
    <w:name w:val="footer"/>
    <w:basedOn w:val="Normale"/>
    <w:link w:val="PidipaginaCarattere"/>
    <w:uiPriority w:val="99"/>
    <w:unhideWhenUsed/>
    <w:rsid w:val="005173C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17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ony.eu/presscentr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sony.ne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imeaddressablemediastore.org/" TargetMode="External"/><Relationship Id="rId5" Type="http://schemas.openxmlformats.org/officeDocument/2006/relationships/settings" Target="settings.xml"/><Relationship Id="rId15" Type="http://schemas.openxmlformats.org/officeDocument/2006/relationships/hyperlink" Target="mailto:elena.giffoni@giffonipr.com" TargetMode="External"/><Relationship Id="rId10" Type="http://schemas.openxmlformats.org/officeDocument/2006/relationships/hyperlink" Target="https://c2pa.or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elena.giffoni@son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444D6DCD6C9B4080CF30E6262CBF93" ma:contentTypeVersion="19" ma:contentTypeDescription="Create a new document." ma:contentTypeScope="" ma:versionID="73600fb2bfba28b6823f040520739efe">
  <xsd:schema xmlns:xsd="http://www.w3.org/2001/XMLSchema" xmlns:xs="http://www.w3.org/2001/XMLSchema" xmlns:p="http://schemas.microsoft.com/office/2006/metadata/properties" xmlns:ns2="9d286f09-3438-4b93-afea-8f26a824a680" xmlns:ns3="e13061ff-0311-4b3a-90c7-28269fd28624" targetNamespace="http://schemas.microsoft.com/office/2006/metadata/properties" ma:root="true" ma:fieldsID="80b2d499accb5faf64745decbd6cc5eb" ns2:_="" ns3:_="">
    <xsd:import namespace="9d286f09-3438-4b93-afea-8f26a824a680"/>
    <xsd:import namespace="e13061ff-0311-4b3a-90c7-28269fd286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286f09-3438-4b93-afea-8f26a824a6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cb9d403-1823-4ec6-b2f2-250b7876d0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3061ff-0311-4b3a-90c7-28269fd2862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ee1329c-483a-4f3a-bfc9-2fbbb82e2629}" ma:internalName="TaxCatchAll" ma:showField="CatchAllData" ma:web="e13061ff-0311-4b3a-90c7-28269fd28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286f09-3438-4b93-afea-8f26a824a680">
      <Terms xmlns="http://schemas.microsoft.com/office/infopath/2007/PartnerControls"/>
    </lcf76f155ced4ddcb4097134ff3c332f>
    <TaxCatchAll xmlns="e13061ff-0311-4b3a-90c7-28269fd2862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5E63A-E5E1-4A6D-B8E5-64366F92D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286f09-3438-4b93-afea-8f26a824a680"/>
    <ds:schemaRef ds:uri="e13061ff-0311-4b3a-90c7-28269fd28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333864-B11A-42D4-BA04-088CB8F43DAC}">
  <ds:schemaRefs>
    <ds:schemaRef ds:uri="http://schemas.microsoft.com/office/2006/metadata/properties"/>
    <ds:schemaRef ds:uri="http://schemas.microsoft.com/office/infopath/2007/PartnerControls"/>
    <ds:schemaRef ds:uri="9d286f09-3438-4b93-afea-8f26a824a680"/>
    <ds:schemaRef ds:uri="e13061ff-0311-4b3a-90c7-28269fd28624"/>
  </ds:schemaRefs>
</ds:datastoreItem>
</file>

<file path=customXml/itemProps3.xml><?xml version="1.0" encoding="utf-8"?>
<ds:datastoreItem xmlns:ds="http://schemas.openxmlformats.org/officeDocument/2006/customXml" ds:itemID="{1A9450AF-CF71-456B-BD51-F1E9BFF51DCF}">
  <ds:schemaRefs>
    <ds:schemaRef ds:uri="http://schemas.microsoft.com/sharepoint/v3/contenttype/forms"/>
  </ds:schemaRefs>
</ds:datastoreItem>
</file>

<file path=docMetadata/LabelInfo.xml><?xml version="1.0" encoding="utf-8"?>
<clbl:labelList xmlns:clbl="http://schemas.microsoft.com/office/2020/mipLabelMetadata">
  <clbl:label id="{ff41bcb5-c330-4cbb-8eba-49c9dbaaa5bd}" enabled="1" method="Privileged" siteId="{66c65d8a-9158-4521-a2d8-664963db48e4}" removed="0"/>
</clbl:labelList>
</file>

<file path=docProps/app.xml><?xml version="1.0" encoding="utf-8"?>
<Properties xmlns="http://schemas.openxmlformats.org/officeDocument/2006/extended-properties" xmlns:vt="http://schemas.openxmlformats.org/officeDocument/2006/docPropsVTypes">
  <Template>Normal.dotm</Template>
  <TotalTime>33</TotalTime>
  <Pages>1</Pages>
  <Words>882</Words>
  <Characters>5028</Characters>
  <Application>Microsoft Office Word</Application>
  <DocSecurity>0</DocSecurity>
  <Lines>41</Lines>
  <Paragraphs>11</Paragraphs>
  <ScaleCrop>false</ScaleCrop>
  <HeadingPairs>
    <vt:vector size="6" baseType="variant">
      <vt:variant>
        <vt:lpstr>Titolo</vt:lpstr>
      </vt:variant>
      <vt:variant>
        <vt:i4>1</vt:i4>
      </vt:variant>
      <vt:variant>
        <vt:lpstr>Title</vt:lpstr>
      </vt:variant>
      <vt:variant>
        <vt:i4>1</vt:i4>
      </vt:variant>
      <vt:variant>
        <vt:lpstr>タイトル</vt:lpstr>
      </vt:variant>
      <vt:variant>
        <vt:i4>1</vt:i4>
      </vt:variant>
    </vt:vector>
  </HeadingPairs>
  <TitlesOfParts>
    <vt:vector size="3" baseType="lpstr">
      <vt:lpstr/>
      <vt:lpstr/>
      <vt:lpstr/>
    </vt:vector>
  </TitlesOfParts>
  <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León Elías, Patricia (Reuters)</dc:creator>
  <cp:keywords>, docId:C56EFC56D0BC458D36EBD03E2D056ACF</cp:keywords>
  <dc:description/>
  <cp:lastModifiedBy>Elena Giffoni</cp:lastModifiedBy>
  <cp:revision>8</cp:revision>
  <dcterms:created xsi:type="dcterms:W3CDTF">2026-09-07T17:36:00Z</dcterms:created>
  <dcterms:modified xsi:type="dcterms:W3CDTF">2026-09-08T07:19:00Z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0x01010097444D6DCD6C9B4080CF30E6262CBF93</vt:lpwstr>
  </property>
</Properties>
</file>