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00708" w14:textId="77777777" w:rsidR="002910F7" w:rsidRDefault="000E6632" w:rsidP="002910F7">
      <w:pPr>
        <w:jc w:val="center"/>
        <w:rPr>
          <w:rFonts w:ascii="Atkinson Hyperlegible" w:eastAsiaTheme="minorEastAsia" w:hAnsi="Atkinson Hyperlegible" w:cs="Atkinson Hyperlegible"/>
          <w:color w:val="5A5A5A"/>
          <w:kern w:val="0"/>
          <w:szCs w:val="22"/>
        </w:rPr>
      </w:pPr>
      <w:r w:rsidRPr="000E6632">
        <w:rPr>
          <w:rFonts w:ascii="Atkinson Hyperlegible" w:eastAsiaTheme="minorEastAsia" w:hAnsi="Atkinson Hyperlegible" w:cs="Atkinson Hyperlegible"/>
          <w:color w:val="5A5A5A"/>
          <w:kern w:val="0"/>
          <w:szCs w:val="22"/>
        </w:rPr>
        <w:t>Comunicato Stampa</w:t>
      </w:r>
    </w:p>
    <w:p w14:paraId="3DF77D80" w14:textId="3E9C836D" w:rsidR="00A63A0D" w:rsidRPr="002910F7" w:rsidRDefault="002910F7" w:rsidP="002910F7">
      <w:pPr>
        <w:jc w:val="center"/>
        <w:rPr>
          <w:rFonts w:ascii="Atkinson Hyperlegible" w:eastAsiaTheme="minorEastAsia" w:hAnsi="Atkinson Hyperlegible" w:cs="Atkinson Hyperlegible"/>
          <w:color w:val="5A5A5A"/>
          <w:kern w:val="0"/>
          <w:szCs w:val="22"/>
        </w:rPr>
      </w:pPr>
      <w:r w:rsidRPr="002910F7">
        <w:rPr>
          <w:rFonts w:ascii="Atkinson Hyperlegible" w:eastAsiaTheme="minorEastAsia" w:hAnsi="Atkinson Hyperlegible" w:cs="Atkinson Hyperlegible"/>
          <w:b/>
          <w:color w:val="194173"/>
          <w:kern w:val="0"/>
          <w:sz w:val="34"/>
          <w:szCs w:val="22"/>
        </w:rPr>
        <w:t xml:space="preserve">“L'Isola Che Accoglie”: Il Patrimonio Tessile Della Sardegna Ispira Il </w:t>
      </w:r>
      <w:r w:rsidR="00653896">
        <w:rPr>
          <w:rFonts w:ascii="Atkinson Hyperlegible" w:eastAsiaTheme="minorEastAsia" w:hAnsi="Atkinson Hyperlegible" w:cs="Atkinson Hyperlegible"/>
          <w:b/>
          <w:color w:val="194173"/>
          <w:kern w:val="0"/>
          <w:sz w:val="34"/>
          <w:szCs w:val="22"/>
        </w:rPr>
        <w:t>Logo</w:t>
      </w:r>
      <w:r w:rsidRPr="002910F7">
        <w:rPr>
          <w:rFonts w:ascii="Atkinson Hyperlegible" w:eastAsiaTheme="minorEastAsia" w:hAnsi="Atkinson Hyperlegible" w:cs="Atkinson Hyperlegible"/>
          <w:b/>
          <w:color w:val="194173"/>
          <w:kern w:val="0"/>
          <w:sz w:val="34"/>
          <w:szCs w:val="22"/>
        </w:rPr>
        <w:t xml:space="preserve"> Del Progetto Dedicato Al Turismo Accessibile</w:t>
      </w:r>
    </w:p>
    <w:p w14:paraId="5A967C94" w14:textId="3F3F85E4" w:rsidR="00A63A0D" w:rsidRDefault="0016179A" w:rsidP="00A63A0D">
      <w:pPr>
        <w:jc w:val="center"/>
        <w:rPr>
          <w:rFonts w:ascii="Atkinson Hyperlegible" w:hAnsi="Atkinson Hyperlegible"/>
          <w:b/>
          <w:bCs/>
        </w:rPr>
      </w:pPr>
      <w:r>
        <w:rPr>
          <w:noProof/>
          <w:lang w:eastAsia="it-IT"/>
        </w:rPr>
        <w:drawing>
          <wp:anchor distT="0" distB="0" distL="0" distR="0" simplePos="0" relativeHeight="251658752" behindDoc="0" locked="0" layoutInCell="1" allowOverlap="1" wp14:anchorId="2FD5EC5D" wp14:editId="1C1DF658">
            <wp:simplePos x="0" y="0"/>
            <wp:positionH relativeFrom="margin">
              <wp:posOffset>1791238</wp:posOffset>
            </wp:positionH>
            <wp:positionV relativeFrom="margin">
              <wp:posOffset>1038225</wp:posOffset>
            </wp:positionV>
            <wp:extent cx="2535715" cy="1117119"/>
            <wp:effectExtent l="0" t="0" r="0" b="0"/>
            <wp:wrapSquare wrapText="bothSides"/>
            <wp:docPr id="1" name="Picture 1" descr="Logo «L'isola che accoglie»: quattro fiori stilizzati in stile mosaico sardo nei colori giallo, arancio, verde e b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L'isola che accoglie' con quattro fiori decorativi in stile pixel art nei colori giallo, arancio, verde  e blu"/>
                    <pic:cNvPicPr/>
                  </pic:nvPicPr>
                  <pic:blipFill>
                    <a:blip r:embed="rId6" cstate="print"/>
                    <a:stretch>
                      <a:fillRect/>
                    </a:stretch>
                  </pic:blipFill>
                  <pic:spPr>
                    <a:xfrm>
                      <a:off x="0" y="0"/>
                      <a:ext cx="2535715" cy="1117119"/>
                    </a:xfrm>
                    <a:prstGeom prst="rect">
                      <a:avLst/>
                    </a:prstGeom>
                  </pic:spPr>
                </pic:pic>
              </a:graphicData>
            </a:graphic>
          </wp:anchor>
        </w:drawing>
      </w:r>
    </w:p>
    <w:p w14:paraId="5A3614E1" w14:textId="383AB506" w:rsidR="00A63A0D" w:rsidRDefault="00A63A0D" w:rsidP="00A63A0D">
      <w:pPr>
        <w:jc w:val="center"/>
        <w:rPr>
          <w:rFonts w:ascii="Atkinson Hyperlegible" w:hAnsi="Atkinson Hyperlegible"/>
          <w:b/>
          <w:bCs/>
        </w:rPr>
      </w:pPr>
    </w:p>
    <w:p w14:paraId="67CBD0C8" w14:textId="77777777" w:rsidR="005134AF" w:rsidRDefault="005134AF" w:rsidP="00A63A0D">
      <w:pPr>
        <w:jc w:val="center"/>
        <w:rPr>
          <w:rFonts w:ascii="Atkinson Hyperlegible" w:hAnsi="Atkinson Hyperlegible"/>
          <w:b/>
          <w:bCs/>
        </w:rPr>
      </w:pPr>
    </w:p>
    <w:p w14:paraId="111568B8" w14:textId="77777777" w:rsidR="005134AF" w:rsidRDefault="005134AF" w:rsidP="00A63A0D">
      <w:pPr>
        <w:jc w:val="center"/>
        <w:rPr>
          <w:rFonts w:ascii="Atkinson Hyperlegible" w:hAnsi="Atkinson Hyperlegible"/>
          <w:b/>
          <w:bCs/>
        </w:rPr>
      </w:pPr>
    </w:p>
    <w:p w14:paraId="61D27A5E" w14:textId="63DC393B" w:rsidR="002514D5" w:rsidRDefault="0016179A" w:rsidP="002910F7">
      <w:pPr>
        <w:jc w:val="both"/>
        <w:rPr>
          <w:rFonts w:ascii="Atkinson Hyperlegible" w:eastAsiaTheme="minorEastAsia" w:hAnsi="Atkinson Hyperlegible" w:cs="Atkinson Hyperlegible"/>
          <w:color w:val="1A1A1A"/>
          <w:kern w:val="0"/>
          <w:sz w:val="21"/>
          <w:szCs w:val="22"/>
        </w:rPr>
      </w:pPr>
      <w:r>
        <w:rPr>
          <w:rFonts w:ascii="Atkinson Hyperlegible" w:eastAsiaTheme="minorEastAsia" w:hAnsi="Atkinson Hyperlegible" w:cs="Atkinson Hyperlegible"/>
          <w:b/>
          <w:bCs/>
          <w:color w:val="1A1A1A"/>
          <w:kern w:val="0"/>
          <w:sz w:val="21"/>
          <w:szCs w:val="22"/>
        </w:rPr>
        <w:t xml:space="preserve">Cagliari, </w:t>
      </w:r>
      <w:r w:rsidRPr="0016179A">
        <w:rPr>
          <w:rFonts w:ascii="Atkinson Hyperlegible" w:eastAsiaTheme="minorEastAsia" w:hAnsi="Atkinson Hyperlegible" w:cs="Atkinson Hyperlegible"/>
          <w:b/>
          <w:bCs/>
          <w:color w:val="1A1A1A"/>
          <w:kern w:val="0"/>
          <w:sz w:val="21"/>
          <w:szCs w:val="22"/>
        </w:rPr>
        <w:t>7 settembre</w:t>
      </w:r>
      <w:r w:rsidR="00A63A0D" w:rsidRPr="0016179A">
        <w:rPr>
          <w:rFonts w:ascii="Atkinson Hyperlegible" w:eastAsiaTheme="minorEastAsia" w:hAnsi="Atkinson Hyperlegible" w:cs="Atkinson Hyperlegible"/>
          <w:b/>
          <w:bCs/>
          <w:color w:val="1A1A1A"/>
          <w:kern w:val="0"/>
          <w:sz w:val="21"/>
          <w:szCs w:val="22"/>
        </w:rPr>
        <w:t xml:space="preserve"> 2026</w:t>
      </w:r>
      <w:r w:rsidR="002910F7">
        <w:rPr>
          <w:rFonts w:ascii="Atkinson Hyperlegible" w:eastAsiaTheme="minorEastAsia" w:hAnsi="Atkinson Hyperlegible" w:cs="Atkinson Hyperlegible"/>
          <w:color w:val="1A1A1A"/>
          <w:kern w:val="0"/>
          <w:sz w:val="21"/>
          <w:szCs w:val="22"/>
        </w:rPr>
        <w:t xml:space="preserve"> </w:t>
      </w:r>
      <w:r w:rsidR="00511E78" w:rsidRPr="000E6632">
        <w:rPr>
          <w:rFonts w:ascii="Atkinson Hyperlegible" w:eastAsiaTheme="minorEastAsia" w:hAnsi="Atkinson Hyperlegible" w:cs="Atkinson Hyperlegible"/>
          <w:color w:val="1A1A1A"/>
          <w:kern w:val="0"/>
          <w:sz w:val="21"/>
          <w:szCs w:val="22"/>
        </w:rPr>
        <w:t xml:space="preserve">– </w:t>
      </w:r>
      <w:r w:rsidR="002514D5" w:rsidRPr="002514D5">
        <w:rPr>
          <w:rFonts w:ascii="Atkinson Hyperlegible" w:eastAsiaTheme="minorEastAsia" w:hAnsi="Atkinson Hyperlegible" w:cs="Atkinson Hyperlegible"/>
          <w:color w:val="1A1A1A"/>
          <w:kern w:val="0"/>
          <w:sz w:val="21"/>
          <w:szCs w:val="22"/>
        </w:rPr>
        <w:t>Un motivo floreale custodito nella tradizione dei tappeti e degli arazzi sardi viene reinterpretato in chiave contemporanea nell’identità visiva di</w:t>
      </w:r>
      <w:r w:rsidR="002514D5">
        <w:rPr>
          <w:rFonts w:ascii="Atkinson Hyperlegible" w:eastAsiaTheme="minorEastAsia" w:hAnsi="Atkinson Hyperlegible" w:cs="Atkinson Hyperlegible"/>
          <w:color w:val="1A1A1A"/>
          <w:kern w:val="0"/>
          <w:sz w:val="21"/>
          <w:szCs w:val="22"/>
        </w:rPr>
        <w:t xml:space="preserve"> </w:t>
      </w:r>
      <w:r w:rsidR="002514D5" w:rsidRPr="002514D5">
        <w:rPr>
          <w:rFonts w:ascii="Atkinson Hyperlegible" w:eastAsiaTheme="minorEastAsia" w:hAnsi="Atkinson Hyperlegible" w:cs="Atkinson Hyperlegible"/>
          <w:color w:val="1A1A1A"/>
          <w:kern w:val="0"/>
          <w:sz w:val="21"/>
          <w:szCs w:val="22"/>
        </w:rPr>
        <w:t>“L’Isola che accoglie”, il progetto promosso dalla Regione Sardegna e dedicato al turismo accessibile e inclusivo nei Comuni di Alghero, Carloforte, La Maddalena e Orosei.</w:t>
      </w:r>
      <w:r w:rsidR="002514D5">
        <w:rPr>
          <w:rFonts w:ascii="Atkinson Hyperlegible" w:eastAsiaTheme="minorEastAsia" w:hAnsi="Atkinson Hyperlegible" w:cs="Atkinson Hyperlegible"/>
          <w:color w:val="1A1A1A"/>
          <w:kern w:val="0"/>
          <w:sz w:val="21"/>
          <w:szCs w:val="22"/>
        </w:rPr>
        <w:t xml:space="preserve"> </w:t>
      </w:r>
      <w:r w:rsidR="00C6251B" w:rsidRPr="00C6251B">
        <w:rPr>
          <w:rFonts w:ascii="Atkinson Hyperlegible" w:eastAsiaTheme="minorEastAsia" w:hAnsi="Atkinson Hyperlegible" w:cs="Atkinson Hyperlegible"/>
          <w:color w:val="1A1A1A"/>
          <w:kern w:val="0"/>
          <w:sz w:val="21"/>
          <w:szCs w:val="22"/>
        </w:rPr>
        <w:t xml:space="preserve">Logo e manuale d'uso sono stati, infatti, </w:t>
      </w:r>
      <w:r w:rsidR="00C6251B">
        <w:rPr>
          <w:rFonts w:ascii="Atkinson Hyperlegible" w:eastAsiaTheme="minorEastAsia" w:hAnsi="Atkinson Hyperlegible" w:cs="Atkinson Hyperlegible"/>
          <w:color w:val="1A1A1A"/>
          <w:kern w:val="0"/>
          <w:sz w:val="21"/>
          <w:szCs w:val="22"/>
        </w:rPr>
        <w:t xml:space="preserve">recentemente </w:t>
      </w:r>
      <w:r w:rsidR="00C6251B" w:rsidRPr="00C6251B">
        <w:rPr>
          <w:rFonts w:ascii="Atkinson Hyperlegible" w:eastAsiaTheme="minorEastAsia" w:hAnsi="Atkinson Hyperlegible" w:cs="Atkinson Hyperlegible"/>
          <w:color w:val="1A1A1A"/>
          <w:kern w:val="0"/>
          <w:sz w:val="21"/>
          <w:szCs w:val="22"/>
        </w:rPr>
        <w:t xml:space="preserve">approvati dalla Giunta </w:t>
      </w:r>
      <w:r w:rsidR="00C6251B">
        <w:rPr>
          <w:rFonts w:ascii="Atkinson Hyperlegible" w:eastAsiaTheme="minorEastAsia" w:hAnsi="Atkinson Hyperlegible" w:cs="Atkinson Hyperlegible"/>
          <w:color w:val="1A1A1A"/>
          <w:kern w:val="0"/>
          <w:sz w:val="21"/>
          <w:szCs w:val="22"/>
        </w:rPr>
        <w:t>R</w:t>
      </w:r>
      <w:r w:rsidR="00C6251B" w:rsidRPr="00C6251B">
        <w:rPr>
          <w:rFonts w:ascii="Atkinson Hyperlegible" w:eastAsiaTheme="minorEastAsia" w:hAnsi="Atkinson Hyperlegible" w:cs="Atkinson Hyperlegible"/>
          <w:color w:val="1A1A1A"/>
          <w:kern w:val="0"/>
          <w:sz w:val="21"/>
          <w:szCs w:val="22"/>
        </w:rPr>
        <w:t>egionale.</w:t>
      </w:r>
      <w:r w:rsidR="00C6251B">
        <w:rPr>
          <w:rFonts w:ascii="Atkinson Hyperlegible" w:eastAsiaTheme="minorEastAsia" w:hAnsi="Atkinson Hyperlegible" w:cs="Atkinson Hyperlegible"/>
          <w:b/>
          <w:bCs/>
          <w:color w:val="1A1A1A"/>
          <w:kern w:val="0"/>
          <w:sz w:val="21"/>
          <w:szCs w:val="22"/>
        </w:rPr>
        <w:t xml:space="preserve"> </w:t>
      </w:r>
    </w:p>
    <w:p w14:paraId="6CD3BDF3" w14:textId="738FA443" w:rsidR="002514D5" w:rsidRDefault="002514D5" w:rsidP="002910F7">
      <w:pPr>
        <w:jc w:val="both"/>
        <w:rPr>
          <w:rFonts w:ascii="Atkinson Hyperlegible" w:eastAsiaTheme="minorEastAsia" w:hAnsi="Atkinson Hyperlegible" w:cs="Atkinson Hyperlegible"/>
          <w:color w:val="1A1A1A"/>
          <w:kern w:val="0"/>
          <w:sz w:val="21"/>
          <w:szCs w:val="22"/>
        </w:rPr>
      </w:pPr>
      <w:r w:rsidRPr="002514D5">
        <w:rPr>
          <w:rFonts w:ascii="Atkinson Hyperlegible" w:eastAsiaTheme="minorEastAsia" w:hAnsi="Atkinson Hyperlegible" w:cs="Atkinson Hyperlegible"/>
          <w:color w:val="1A1A1A"/>
          <w:kern w:val="0"/>
          <w:sz w:val="21"/>
          <w:szCs w:val="22"/>
        </w:rPr>
        <w:t>La ricerca è partita dall’individuazione di un elemento capace di rappresentare i valori dell’iniziativa: il legame con il territorio, la partecipazione e un’idea di accoglienza aperta a tutte le persone. Un patrimonio visivo della Sardegna viene così trasformato in un linguaggio contemporaneo, pensato per accompagnare il racconto del progetto e renderne riconoscibili contenuti e materiali.</w:t>
      </w:r>
    </w:p>
    <w:p w14:paraId="076D1FE6" w14:textId="5AAE0A6A" w:rsidR="00653896" w:rsidRPr="00653896" w:rsidRDefault="00653896" w:rsidP="002910F7">
      <w:pPr>
        <w:jc w:val="both"/>
        <w:rPr>
          <w:rFonts w:ascii="Atkinson Hyperlegible" w:eastAsiaTheme="minorEastAsia" w:hAnsi="Atkinson Hyperlegible" w:cs="Atkinson Hyperlegible"/>
          <w:b/>
          <w:caps/>
          <w:color w:val="194173"/>
          <w:kern w:val="0"/>
          <w:sz w:val="23"/>
          <w:szCs w:val="22"/>
        </w:rPr>
      </w:pPr>
      <w:r w:rsidRPr="00653896">
        <w:rPr>
          <w:rFonts w:ascii="Atkinson Hyperlegible" w:eastAsiaTheme="minorEastAsia" w:hAnsi="Atkinson Hyperlegible" w:cs="Atkinson Hyperlegible"/>
          <w:b/>
          <w:caps/>
          <w:color w:val="194173"/>
          <w:kern w:val="0"/>
          <w:sz w:val="23"/>
          <w:szCs w:val="22"/>
        </w:rPr>
        <w:t xml:space="preserve">Dal telaio al pixel </w:t>
      </w:r>
    </w:p>
    <w:p w14:paraId="4EFDFF11" w14:textId="44A1DAD3" w:rsidR="002514D5" w:rsidRDefault="002514D5" w:rsidP="002910F7">
      <w:pPr>
        <w:jc w:val="both"/>
        <w:rPr>
          <w:rFonts w:ascii="Atkinson Hyperlegible" w:eastAsiaTheme="minorEastAsia" w:hAnsi="Atkinson Hyperlegible" w:cs="Atkinson Hyperlegible"/>
          <w:color w:val="1A1A1A"/>
          <w:kern w:val="0"/>
          <w:sz w:val="21"/>
          <w:szCs w:val="22"/>
        </w:rPr>
      </w:pPr>
      <w:r w:rsidRPr="002514D5">
        <w:rPr>
          <w:rFonts w:ascii="Atkinson Hyperlegible" w:eastAsiaTheme="minorEastAsia" w:hAnsi="Atkinson Hyperlegible" w:cs="Atkinson Hyperlegible"/>
          <w:color w:val="1A1A1A"/>
          <w:kern w:val="0"/>
          <w:sz w:val="21"/>
          <w:szCs w:val="22"/>
        </w:rPr>
        <w:t xml:space="preserve">Nei tappeti e negli arazzi tradizionali della Sardegna ricorre un motivo geometrico ispirato al fiore, reinterpretato nel progetto attraverso un pittogramma composto da quattro fiori stilizzati costruiti con la logica del pixel. Il risultato è un elemento grafico semplice e riconoscibile, che richiama il patrimonio artigianale dell’isola e riprende i quattro colori del </w:t>
      </w:r>
      <w:proofErr w:type="gramStart"/>
      <w:r w:rsidRPr="002514D5">
        <w:rPr>
          <w:rFonts w:ascii="Atkinson Hyperlegible" w:eastAsiaTheme="minorEastAsia" w:hAnsi="Atkinson Hyperlegible" w:cs="Atkinson Hyperlegible"/>
          <w:color w:val="1A1A1A"/>
          <w:kern w:val="0"/>
          <w:sz w:val="21"/>
          <w:szCs w:val="22"/>
        </w:rPr>
        <w:t>brand</w:t>
      </w:r>
      <w:proofErr w:type="gramEnd"/>
      <w:r w:rsidRPr="002514D5">
        <w:rPr>
          <w:rFonts w:ascii="Atkinson Hyperlegible" w:eastAsiaTheme="minorEastAsia" w:hAnsi="Atkinson Hyperlegible" w:cs="Atkinson Hyperlegible"/>
          <w:color w:val="1A1A1A"/>
          <w:kern w:val="0"/>
          <w:sz w:val="21"/>
          <w:szCs w:val="22"/>
        </w:rPr>
        <w:t xml:space="preserve"> SARDEGNA.</w:t>
      </w:r>
    </w:p>
    <w:p w14:paraId="26E19ACE" w14:textId="1054A21A" w:rsidR="00653896" w:rsidRDefault="00653896" w:rsidP="002910F7">
      <w:pPr>
        <w:jc w:val="both"/>
        <w:rPr>
          <w:rFonts w:ascii="Atkinson Hyperlegible" w:eastAsiaTheme="minorEastAsia" w:hAnsi="Atkinson Hyperlegible" w:cs="Atkinson Hyperlegible"/>
          <w:color w:val="1A1A1A"/>
          <w:kern w:val="0"/>
          <w:sz w:val="21"/>
          <w:szCs w:val="22"/>
        </w:rPr>
      </w:pPr>
      <w:r w:rsidRPr="00653896">
        <w:rPr>
          <w:rFonts w:ascii="Atkinson Hyperlegible" w:eastAsiaTheme="minorEastAsia" w:hAnsi="Atkinson Hyperlegible" w:cs="Atkinson Hyperlegible"/>
          <w:color w:val="1A1A1A"/>
          <w:kern w:val="0"/>
          <w:sz w:val="21"/>
          <w:szCs w:val="22"/>
        </w:rPr>
        <w:t xml:space="preserve">L'attenzione all'accessibilità non riguarda solo i contenuti del progetto, ma anche il modo in cui vengono comunicati. Per questo il marchio è stato sviluppato seguendo criteri di leggibilità e riconoscibilità: il pittogramma accompagna sempre il nome "L'Isola che accoglie", composto con il carattere Atkinson </w:t>
      </w:r>
      <w:proofErr w:type="spellStart"/>
      <w:r w:rsidRPr="00653896">
        <w:rPr>
          <w:rFonts w:ascii="Atkinson Hyperlegible" w:eastAsiaTheme="minorEastAsia" w:hAnsi="Atkinson Hyperlegible" w:cs="Atkinson Hyperlegible"/>
          <w:color w:val="1A1A1A"/>
          <w:kern w:val="0"/>
          <w:sz w:val="21"/>
          <w:szCs w:val="22"/>
        </w:rPr>
        <w:t>Hyperlegible</w:t>
      </w:r>
      <w:proofErr w:type="spellEnd"/>
      <w:r w:rsidRPr="00653896">
        <w:rPr>
          <w:rFonts w:ascii="Atkinson Hyperlegible" w:eastAsiaTheme="minorEastAsia" w:hAnsi="Atkinson Hyperlegible" w:cs="Atkinson Hyperlegible"/>
          <w:color w:val="1A1A1A"/>
          <w:kern w:val="0"/>
          <w:sz w:val="21"/>
          <w:szCs w:val="22"/>
        </w:rPr>
        <w:t>, mentre colori e contrasti rispettano gli standard internazionali di accessibilità digitale (WCAG 2.1).</w:t>
      </w:r>
      <w:r>
        <w:rPr>
          <w:rFonts w:ascii="Atkinson Hyperlegible" w:eastAsiaTheme="minorEastAsia" w:hAnsi="Atkinson Hyperlegible" w:cs="Atkinson Hyperlegible"/>
          <w:color w:val="1A1A1A"/>
          <w:kern w:val="0"/>
          <w:sz w:val="21"/>
          <w:szCs w:val="22"/>
        </w:rPr>
        <w:t xml:space="preserve"> </w:t>
      </w:r>
      <w:r w:rsidRPr="00653896">
        <w:rPr>
          <w:rFonts w:ascii="Atkinson Hyperlegible" w:eastAsiaTheme="minorEastAsia" w:hAnsi="Atkinson Hyperlegible" w:cs="Atkinson Hyperlegible"/>
          <w:color w:val="1A1A1A"/>
          <w:kern w:val="0"/>
          <w:sz w:val="21"/>
          <w:szCs w:val="22"/>
        </w:rPr>
        <w:t>La riconoscibilità dell’immagine coordinata</w:t>
      </w:r>
      <w:r>
        <w:rPr>
          <w:rFonts w:ascii="Atkinson Hyperlegible" w:eastAsiaTheme="minorEastAsia" w:hAnsi="Atkinson Hyperlegible" w:cs="Atkinson Hyperlegible"/>
          <w:color w:val="1A1A1A"/>
          <w:kern w:val="0"/>
          <w:sz w:val="21"/>
          <w:szCs w:val="22"/>
        </w:rPr>
        <w:t xml:space="preserve"> </w:t>
      </w:r>
      <w:r w:rsidRPr="00653896">
        <w:rPr>
          <w:rFonts w:ascii="Atkinson Hyperlegible" w:eastAsiaTheme="minorEastAsia" w:hAnsi="Atkinson Hyperlegible" w:cs="Atkinson Hyperlegible"/>
          <w:color w:val="1A1A1A"/>
          <w:kern w:val="0"/>
          <w:sz w:val="21"/>
          <w:szCs w:val="22"/>
        </w:rPr>
        <w:t>è stata mantenuta anche nelle diverse applicazioni, con versioni studiate per l’utilizzo su sfondi e supporti differenti.</w:t>
      </w:r>
    </w:p>
    <w:p w14:paraId="6F1E14B1" w14:textId="36074AF9" w:rsidR="00653896" w:rsidRPr="002514D5" w:rsidRDefault="002514D5" w:rsidP="002910F7">
      <w:pPr>
        <w:jc w:val="both"/>
        <w:rPr>
          <w:rFonts w:ascii="Atkinson Hyperlegible" w:eastAsiaTheme="minorEastAsia" w:hAnsi="Atkinson Hyperlegible" w:cs="Atkinson Hyperlegible"/>
          <w:b/>
          <w:caps/>
          <w:color w:val="194173"/>
          <w:kern w:val="0"/>
          <w:sz w:val="23"/>
          <w:szCs w:val="22"/>
        </w:rPr>
      </w:pPr>
      <w:r w:rsidRPr="002514D5">
        <w:rPr>
          <w:rFonts w:ascii="Atkinson Hyperlegible" w:eastAsiaTheme="minorEastAsia" w:hAnsi="Atkinson Hyperlegible" w:cs="Atkinson Hyperlegible"/>
          <w:b/>
          <w:caps/>
          <w:color w:val="194173"/>
          <w:kern w:val="0"/>
          <w:sz w:val="23"/>
          <w:szCs w:val="22"/>
        </w:rPr>
        <w:t>Il fregio: figure che raccontano l’inclusione</w:t>
      </w:r>
    </w:p>
    <w:p w14:paraId="73CF8205" w14:textId="68658777" w:rsidR="00653896" w:rsidRPr="00653896" w:rsidRDefault="00653896" w:rsidP="00653896">
      <w:pPr>
        <w:jc w:val="both"/>
        <w:rPr>
          <w:rFonts w:ascii="Atkinson Hyperlegible" w:eastAsiaTheme="minorEastAsia" w:hAnsi="Atkinson Hyperlegible" w:cs="Atkinson Hyperlegible"/>
          <w:color w:val="1A1A1A"/>
          <w:kern w:val="0"/>
          <w:sz w:val="21"/>
          <w:szCs w:val="22"/>
        </w:rPr>
      </w:pPr>
      <w:r w:rsidRPr="00653896">
        <w:rPr>
          <w:rFonts w:ascii="Atkinson Hyperlegible" w:eastAsiaTheme="minorEastAsia" w:hAnsi="Atkinson Hyperlegible" w:cs="Atkinson Hyperlegible"/>
          <w:color w:val="1A1A1A"/>
          <w:kern w:val="0"/>
          <w:sz w:val="21"/>
          <w:szCs w:val="22"/>
        </w:rPr>
        <w:t xml:space="preserve">Accanto al logo è stato sviluppato anche un fregio grafico ispirato allo stesso motivo tessile. Le figure rappresentano persone diverse che condividono lo stesso percorso: bambini, adulti, persone anziane, persone che utilizzano una carrozzina </w:t>
      </w:r>
      <w:r w:rsidR="00884158" w:rsidRPr="00884158">
        <w:rPr>
          <w:rFonts w:ascii="Atkinson Hyperlegible" w:eastAsiaTheme="minorEastAsia" w:hAnsi="Atkinson Hyperlegible" w:cs="Atkinson Hyperlegible"/>
          <w:color w:val="1A1A1A"/>
          <w:kern w:val="0"/>
          <w:sz w:val="21"/>
          <w:szCs w:val="22"/>
        </w:rPr>
        <w:t>o altri ausili per la mobilità</w:t>
      </w:r>
      <w:r w:rsidRPr="00653896">
        <w:rPr>
          <w:rFonts w:ascii="Atkinson Hyperlegible" w:eastAsiaTheme="minorEastAsia" w:hAnsi="Atkinson Hyperlegible" w:cs="Atkinson Hyperlegible"/>
          <w:color w:val="1A1A1A"/>
          <w:kern w:val="0"/>
          <w:sz w:val="21"/>
          <w:szCs w:val="22"/>
        </w:rPr>
        <w:t>, famiglie con passeggino e viaggiatori. Il fregio accompagn</w:t>
      </w:r>
      <w:r w:rsidR="00884158">
        <w:rPr>
          <w:rFonts w:ascii="Atkinson Hyperlegible" w:eastAsiaTheme="minorEastAsia" w:hAnsi="Atkinson Hyperlegible" w:cs="Atkinson Hyperlegible"/>
          <w:color w:val="1A1A1A"/>
          <w:kern w:val="0"/>
          <w:sz w:val="21"/>
          <w:szCs w:val="22"/>
        </w:rPr>
        <w:t>erà</w:t>
      </w:r>
      <w:r w:rsidRPr="00653896">
        <w:rPr>
          <w:rFonts w:ascii="Atkinson Hyperlegible" w:eastAsiaTheme="minorEastAsia" w:hAnsi="Atkinson Hyperlegible" w:cs="Atkinson Hyperlegible"/>
          <w:color w:val="1A1A1A"/>
          <w:kern w:val="0"/>
          <w:sz w:val="21"/>
          <w:szCs w:val="22"/>
        </w:rPr>
        <w:t xml:space="preserve"> brochure, cartoline e altri materiali del progetto, contribuendo a raccontarne visivamente i valori di partecipazione e accoglienza.</w:t>
      </w:r>
    </w:p>
    <w:p w14:paraId="458C3B90" w14:textId="62AD5DA2" w:rsidR="00A63A0D" w:rsidRPr="000E6632" w:rsidRDefault="00653896" w:rsidP="00EC3C84">
      <w:pPr>
        <w:jc w:val="both"/>
        <w:rPr>
          <w:rFonts w:ascii="Atkinson Hyperlegible" w:eastAsiaTheme="minorEastAsia" w:hAnsi="Atkinson Hyperlegible" w:cs="Atkinson Hyperlegible"/>
          <w:color w:val="1A1A1A"/>
          <w:kern w:val="0"/>
          <w:sz w:val="21"/>
          <w:szCs w:val="22"/>
        </w:rPr>
      </w:pPr>
      <w:r w:rsidRPr="00653896">
        <w:rPr>
          <w:rFonts w:ascii="Atkinson Hyperlegible" w:eastAsiaTheme="minorEastAsia" w:hAnsi="Atkinson Hyperlegible" w:cs="Atkinson Hyperlegible"/>
          <w:color w:val="1A1A1A"/>
          <w:kern w:val="0"/>
          <w:sz w:val="21"/>
          <w:szCs w:val="22"/>
        </w:rPr>
        <w:t>Con “L’Isola che accoglie”, il patrimonio culturale della Sardegna incontra il design contemporaneo e i principi dell’accessibilità. Il risultato è un linguaggio grafico che richiama la tradizione dell’isola e rende il progetto immediatamente riconoscibile, attraverso strumenti pensati per essere chiari, leggibili e utilizzabili dal maggior numero possibile di persone.</w:t>
      </w:r>
    </w:p>
    <w:sectPr w:rsidR="00A63A0D" w:rsidRPr="000E6632" w:rsidSect="00EE0099">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9915" w14:textId="77777777" w:rsidR="00CE0F5C" w:rsidRDefault="00CE0F5C" w:rsidP="00A63A0D">
      <w:pPr>
        <w:spacing w:after="0" w:line="240" w:lineRule="auto"/>
      </w:pPr>
      <w:r>
        <w:separator/>
      </w:r>
    </w:p>
  </w:endnote>
  <w:endnote w:type="continuationSeparator" w:id="0">
    <w:p w14:paraId="2FF7012D" w14:textId="77777777" w:rsidR="00CE0F5C" w:rsidRDefault="00CE0F5C" w:rsidP="00A63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tkinson Hyperlegible">
    <w:altName w:val="Calibri"/>
    <w:charset w:val="00"/>
    <w:family w:val="auto"/>
    <w:pitch w:val="variable"/>
    <w:sig w:usb0="800000EF" w:usb1="0000204B"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A120" w14:textId="77777777" w:rsidR="00023BBD" w:rsidRDefault="005F55AD">
    <w:pPr>
      <w:pStyle w:val="Pidipagina"/>
    </w:pPr>
    <w:r>
      <w:rPr>
        <w:noProof/>
        <w:lang w:eastAsia="it-IT"/>
      </w:rPr>
      <w:drawing>
        <wp:anchor distT="0" distB="0" distL="0" distR="0" simplePos="0" relativeHeight="251662336" behindDoc="1" locked="0" layoutInCell="1" allowOverlap="1" wp14:anchorId="7151C034" wp14:editId="684772AA">
          <wp:simplePos x="0" y="0"/>
          <wp:positionH relativeFrom="page">
            <wp:posOffset>5715</wp:posOffset>
          </wp:positionH>
          <wp:positionV relativeFrom="page">
            <wp:posOffset>9608820</wp:posOffset>
          </wp:positionV>
          <wp:extent cx="7560000" cy="1045753"/>
          <wp:effectExtent l="0" t="0" r="0" b="0"/>
          <wp:wrapNone/>
          <wp:docPr id="3" name="Picture 3" descr="Illustrazione decorativa a mosaico raffigurante una sequenza di figure umane stilizzate — donne, uomini, bambini, persona che utilizza una sedia a rotelle, una persona con bastone, una donna incinta e un passeggino — nei colori arancio, verde oliva, giallo e blu, a rappresentare inclusione e diversi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llustrazione decorativa a mosaico raffigurante una sequenza di figure umane stilizzate — donne, uomini, bambini, persona che utilizza una sedia a rotelle, una persona con bastone, una donna incinta e un passeggino— nei colori arancio, verde oliva, giallo e blu, a rappresentare inclusione e diversità"/>
                  <pic:cNvPicPr/>
                </pic:nvPicPr>
                <pic:blipFill>
                  <a:blip r:embed="rId1"/>
                  <a:stretch>
                    <a:fillRect/>
                  </a:stretch>
                </pic:blipFill>
                <pic:spPr>
                  <a:xfrm>
                    <a:off x="0" y="0"/>
                    <a:ext cx="7560000" cy="1045753"/>
                  </a:xfrm>
                  <a:prstGeom prst="rect">
                    <a:avLst/>
                  </a:prstGeom>
                </pic:spPr>
              </pic:pic>
            </a:graphicData>
          </a:graphic>
        </wp:anchor>
      </w:drawing>
    </w:r>
  </w:p>
  <w:p w14:paraId="57FC08EA" w14:textId="77777777" w:rsidR="00023BBD" w:rsidRDefault="007D6C83" w:rsidP="007D6C83">
    <w:pPr>
      <w:pStyle w:val="Pidipagina"/>
      <w:tabs>
        <w:tab w:val="clear" w:pos="4819"/>
        <w:tab w:val="clear" w:pos="9638"/>
        <w:tab w:val="left" w:pos="8475"/>
      </w:tabs>
    </w:pPr>
    <w:r>
      <w:tab/>
    </w:r>
  </w:p>
  <w:p w14:paraId="7AEECD00" w14:textId="77777777" w:rsidR="00023BBD" w:rsidRDefault="00023BB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FC3B8" w14:textId="77777777" w:rsidR="00CE0F5C" w:rsidRDefault="00CE0F5C" w:rsidP="00A63A0D">
      <w:pPr>
        <w:spacing w:after="0" w:line="240" w:lineRule="auto"/>
      </w:pPr>
      <w:r>
        <w:separator/>
      </w:r>
    </w:p>
  </w:footnote>
  <w:footnote w:type="continuationSeparator" w:id="0">
    <w:p w14:paraId="19994FD5" w14:textId="77777777" w:rsidR="00CE0F5C" w:rsidRDefault="00CE0F5C" w:rsidP="00A63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4155" w14:textId="77777777" w:rsidR="00A63A0D" w:rsidRDefault="000E6632">
    <w:pPr>
      <w:pStyle w:val="Intestazione"/>
    </w:pPr>
    <w:r>
      <w:rPr>
        <w:noProof/>
        <w:lang w:eastAsia="it-IT"/>
      </w:rPr>
      <w:drawing>
        <wp:anchor distT="0" distB="0" distL="114300" distR="114300" simplePos="0" relativeHeight="251660288" behindDoc="0" locked="0" layoutInCell="1" allowOverlap="1" wp14:anchorId="452B7206" wp14:editId="2EC22214">
          <wp:simplePos x="0" y="0"/>
          <wp:positionH relativeFrom="margin">
            <wp:posOffset>5144770</wp:posOffset>
          </wp:positionH>
          <wp:positionV relativeFrom="margin">
            <wp:posOffset>-833755</wp:posOffset>
          </wp:positionV>
          <wp:extent cx="935990" cy="547370"/>
          <wp:effectExtent l="0" t="0" r="0" b="5080"/>
          <wp:wrapSquare wrapText="bothSides"/>
          <wp:docPr id="2126811757" name="Picture 2" descr="Stemma della Regione Autonoma della Sardegna con i quattro mori, accompagnato dalla scritta 'Regione Autonoma de Sardigna – Regione Autonoma della Sarde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11757" name="Picture 2" descr="Stemma della Regione Autonoma della Sardegna con i quattro mori, accompagnato dalla scritta 'Regione Autonoma de Sardigna – Regione Autonoma della Sardegna"/>
                  <pic:cNvPicPr>
                    <a:picLocks noChangeAspect="1"/>
                  </pic:cNvPicPr>
                </pic:nvPicPr>
                <pic:blipFill>
                  <a:blip r:embed="rId1"/>
                  <a:stretch>
                    <a:fillRect/>
                  </a:stretch>
                </pic:blipFill>
                <pic:spPr>
                  <a:xfrm>
                    <a:off x="0" y="0"/>
                    <a:ext cx="935990" cy="547370"/>
                  </a:xfrm>
                  <a:prstGeom prst="rect">
                    <a:avLst/>
                  </a:prstGeom>
                </pic:spPr>
              </pic:pic>
            </a:graphicData>
          </a:graphic>
        </wp:anchor>
      </w:drawing>
    </w:r>
    <w:r>
      <w:rPr>
        <w:noProof/>
        <w:lang w:eastAsia="it-IT"/>
      </w:rPr>
      <w:drawing>
        <wp:anchor distT="0" distB="0" distL="114300" distR="114300" simplePos="0" relativeHeight="251659264" behindDoc="0" locked="0" layoutInCell="1" allowOverlap="1" wp14:anchorId="68A22132" wp14:editId="2EE06364">
          <wp:simplePos x="0" y="0"/>
          <wp:positionH relativeFrom="margin">
            <wp:posOffset>12065</wp:posOffset>
          </wp:positionH>
          <wp:positionV relativeFrom="margin">
            <wp:posOffset>-619125</wp:posOffset>
          </wp:positionV>
          <wp:extent cx="2267585" cy="277495"/>
          <wp:effectExtent l="0" t="0" r="0" b="8255"/>
          <wp:wrapSquare wrapText="bothSides"/>
          <wp:docPr id="495897226" name="Picture 1" descr="Logo con la scritta 'Sardegna' in caratteri multicolore: verde oliva, arancio, giallo, blu e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97226" name="Picture 1" descr="Logo con la scritta 'Sardegna' in caratteri multicolore: verde oliva, arancio, giallo, blu e rosso"/>
                  <pic:cNvPicPr>
                    <a:picLocks noChangeAspect="1"/>
                  </pic:cNvPicPr>
                </pic:nvPicPr>
                <pic:blipFill>
                  <a:blip r:embed="rId2"/>
                  <a:stretch>
                    <a:fillRect/>
                  </a:stretch>
                </pic:blipFill>
                <pic:spPr>
                  <a:xfrm>
                    <a:off x="0" y="0"/>
                    <a:ext cx="2267585" cy="277495"/>
                  </a:xfrm>
                  <a:prstGeom prst="rect">
                    <a:avLst/>
                  </a:prstGeom>
                </pic:spPr>
              </pic:pic>
            </a:graphicData>
          </a:graphic>
        </wp:anchor>
      </w:drawing>
    </w:r>
  </w:p>
  <w:p w14:paraId="3605299B" w14:textId="77777777" w:rsidR="00A63A0D" w:rsidRDefault="00A63A0D">
    <w:pPr>
      <w:pStyle w:val="Intestazione"/>
    </w:pPr>
  </w:p>
  <w:p w14:paraId="7F19E879" w14:textId="77777777" w:rsidR="00A63A0D" w:rsidRDefault="00A63A0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0D"/>
    <w:rsid w:val="00023BBD"/>
    <w:rsid w:val="000E6632"/>
    <w:rsid w:val="0016179A"/>
    <w:rsid w:val="002514D5"/>
    <w:rsid w:val="002910F7"/>
    <w:rsid w:val="002C5A4B"/>
    <w:rsid w:val="002C6629"/>
    <w:rsid w:val="002C7532"/>
    <w:rsid w:val="003C422E"/>
    <w:rsid w:val="00494BB6"/>
    <w:rsid w:val="00511E78"/>
    <w:rsid w:val="005134AF"/>
    <w:rsid w:val="0058254E"/>
    <w:rsid w:val="00591105"/>
    <w:rsid w:val="005F55AD"/>
    <w:rsid w:val="00653896"/>
    <w:rsid w:val="00696535"/>
    <w:rsid w:val="006B63F8"/>
    <w:rsid w:val="006C76E7"/>
    <w:rsid w:val="006D4C04"/>
    <w:rsid w:val="007D6C83"/>
    <w:rsid w:val="00884158"/>
    <w:rsid w:val="008A68D1"/>
    <w:rsid w:val="009806EA"/>
    <w:rsid w:val="009A4F6A"/>
    <w:rsid w:val="00A63A0D"/>
    <w:rsid w:val="00AC15BD"/>
    <w:rsid w:val="00AE57DB"/>
    <w:rsid w:val="00C33D30"/>
    <w:rsid w:val="00C6251B"/>
    <w:rsid w:val="00CE0F5C"/>
    <w:rsid w:val="00D22B40"/>
    <w:rsid w:val="00D47B78"/>
    <w:rsid w:val="00D56763"/>
    <w:rsid w:val="00D70203"/>
    <w:rsid w:val="00DA320C"/>
    <w:rsid w:val="00E012FA"/>
    <w:rsid w:val="00EC3C84"/>
    <w:rsid w:val="00EE0099"/>
    <w:rsid w:val="00F97C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1823B"/>
  <w15:docId w15:val="{0FF6EA6E-63E2-48E7-A670-F18E2138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0099"/>
  </w:style>
  <w:style w:type="paragraph" w:styleId="Titolo1">
    <w:name w:val="heading 1"/>
    <w:basedOn w:val="Normale"/>
    <w:next w:val="Normale"/>
    <w:link w:val="Titolo1Carattere"/>
    <w:uiPriority w:val="9"/>
    <w:qFormat/>
    <w:rsid w:val="00A63A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63A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63A0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63A0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63A0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63A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63A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63A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63A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63A0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63A0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63A0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63A0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63A0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63A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63A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63A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63A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A63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63A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63A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63A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63A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63A0D"/>
    <w:rPr>
      <w:i/>
      <w:iCs/>
      <w:color w:val="404040" w:themeColor="text1" w:themeTint="BF"/>
    </w:rPr>
  </w:style>
  <w:style w:type="paragraph" w:styleId="Paragrafoelenco">
    <w:name w:val="List Paragraph"/>
    <w:basedOn w:val="Normale"/>
    <w:uiPriority w:val="34"/>
    <w:qFormat/>
    <w:rsid w:val="00A63A0D"/>
    <w:pPr>
      <w:ind w:left="720"/>
      <w:contextualSpacing/>
    </w:pPr>
  </w:style>
  <w:style w:type="character" w:styleId="Enfasiintensa">
    <w:name w:val="Intense Emphasis"/>
    <w:basedOn w:val="Carpredefinitoparagrafo"/>
    <w:uiPriority w:val="21"/>
    <w:qFormat/>
    <w:rsid w:val="00A63A0D"/>
    <w:rPr>
      <w:i/>
      <w:iCs/>
      <w:color w:val="2F5496" w:themeColor="accent1" w:themeShade="BF"/>
    </w:rPr>
  </w:style>
  <w:style w:type="paragraph" w:styleId="Citazioneintensa">
    <w:name w:val="Intense Quote"/>
    <w:basedOn w:val="Normale"/>
    <w:next w:val="Normale"/>
    <w:link w:val="CitazioneintensaCarattere"/>
    <w:uiPriority w:val="30"/>
    <w:qFormat/>
    <w:rsid w:val="00A63A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63A0D"/>
    <w:rPr>
      <w:i/>
      <w:iCs/>
      <w:color w:val="2F5496" w:themeColor="accent1" w:themeShade="BF"/>
    </w:rPr>
  </w:style>
  <w:style w:type="character" w:styleId="Riferimentointenso">
    <w:name w:val="Intense Reference"/>
    <w:basedOn w:val="Carpredefinitoparagrafo"/>
    <w:uiPriority w:val="32"/>
    <w:qFormat/>
    <w:rsid w:val="00A63A0D"/>
    <w:rPr>
      <w:b/>
      <w:bCs/>
      <w:smallCaps/>
      <w:color w:val="2F5496" w:themeColor="accent1" w:themeShade="BF"/>
      <w:spacing w:val="5"/>
    </w:rPr>
  </w:style>
  <w:style w:type="paragraph" w:styleId="Intestazione">
    <w:name w:val="header"/>
    <w:basedOn w:val="Normale"/>
    <w:link w:val="IntestazioneCarattere"/>
    <w:uiPriority w:val="99"/>
    <w:unhideWhenUsed/>
    <w:rsid w:val="00A63A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3A0D"/>
  </w:style>
  <w:style w:type="paragraph" w:styleId="Pidipagina">
    <w:name w:val="footer"/>
    <w:basedOn w:val="Normale"/>
    <w:link w:val="PidipaginaCarattere"/>
    <w:uiPriority w:val="99"/>
    <w:unhideWhenUsed/>
    <w:rsid w:val="00A63A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3A0D"/>
  </w:style>
  <w:style w:type="paragraph" w:customStyle="1" w:styleId="Titolo10">
    <w:name w:val="Titolo1"/>
    <w:basedOn w:val="Normale"/>
    <w:rsid w:val="000E6632"/>
    <w:pPr>
      <w:keepNext/>
      <w:spacing w:after="80" w:line="276" w:lineRule="auto"/>
    </w:pPr>
    <w:rPr>
      <w:rFonts w:ascii="Atkinson Hyperlegible" w:eastAsiaTheme="minorEastAsia" w:hAnsi="Atkinson Hyperlegible" w:cs="Atkinson Hyperlegible"/>
      <w:b/>
      <w:color w:val="194173"/>
      <w:kern w:val="0"/>
      <w:sz w:val="34"/>
      <w:szCs w:val="22"/>
      <w:lang w:val="en-US"/>
    </w:rPr>
  </w:style>
  <w:style w:type="paragraph" w:customStyle="1" w:styleId="Sezione">
    <w:name w:val="Sezione"/>
    <w:basedOn w:val="Normale"/>
    <w:rsid w:val="000E6632"/>
    <w:pPr>
      <w:keepNext/>
      <w:spacing w:before="260" w:after="100" w:line="276" w:lineRule="auto"/>
    </w:pPr>
    <w:rPr>
      <w:rFonts w:ascii="Atkinson Hyperlegible" w:eastAsiaTheme="minorEastAsia" w:hAnsi="Atkinson Hyperlegible" w:cs="Atkinson Hyperlegible"/>
      <w:b/>
      <w:caps/>
      <w:color w:val="194173"/>
      <w:kern w:val="0"/>
      <w:sz w:val="23"/>
      <w:szCs w:val="22"/>
      <w:lang w:val="en-US"/>
    </w:rPr>
  </w:style>
  <w:style w:type="paragraph" w:customStyle="1" w:styleId="Sottotitolo1">
    <w:name w:val="Sottotitolo1"/>
    <w:basedOn w:val="Normale"/>
    <w:rsid w:val="000E6632"/>
    <w:pPr>
      <w:keepNext/>
      <w:spacing w:after="240" w:line="276" w:lineRule="auto"/>
    </w:pPr>
    <w:rPr>
      <w:rFonts w:ascii="Atkinson Hyperlegible" w:eastAsiaTheme="minorEastAsia" w:hAnsi="Atkinson Hyperlegible" w:cs="Atkinson Hyperlegible"/>
      <w:color w:val="5A5A5A"/>
      <w:kern w:val="0"/>
      <w:szCs w:val="22"/>
      <w:lang w:val="en-US"/>
    </w:rPr>
  </w:style>
  <w:style w:type="character" w:styleId="Rimandocommento">
    <w:name w:val="annotation reference"/>
    <w:basedOn w:val="Carpredefinitoparagrafo"/>
    <w:uiPriority w:val="99"/>
    <w:semiHidden/>
    <w:unhideWhenUsed/>
    <w:rsid w:val="006C76E7"/>
    <w:rPr>
      <w:sz w:val="16"/>
      <w:szCs w:val="16"/>
    </w:rPr>
  </w:style>
  <w:style w:type="paragraph" w:styleId="Testocommento">
    <w:name w:val="annotation text"/>
    <w:basedOn w:val="Normale"/>
    <w:link w:val="TestocommentoCarattere"/>
    <w:uiPriority w:val="99"/>
    <w:semiHidden/>
    <w:unhideWhenUsed/>
    <w:rsid w:val="006C76E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C76E7"/>
    <w:rPr>
      <w:sz w:val="20"/>
      <w:szCs w:val="20"/>
    </w:rPr>
  </w:style>
  <w:style w:type="paragraph" w:styleId="Soggettocommento">
    <w:name w:val="annotation subject"/>
    <w:basedOn w:val="Testocommento"/>
    <w:next w:val="Testocommento"/>
    <w:link w:val="SoggettocommentoCarattere"/>
    <w:uiPriority w:val="99"/>
    <w:semiHidden/>
    <w:unhideWhenUsed/>
    <w:rsid w:val="006C76E7"/>
    <w:rPr>
      <w:b/>
      <w:bCs/>
    </w:rPr>
  </w:style>
  <w:style w:type="character" w:customStyle="1" w:styleId="SoggettocommentoCarattere">
    <w:name w:val="Soggetto commento Carattere"/>
    <w:basedOn w:val="TestocommentoCarattere"/>
    <w:link w:val="Soggettocommento"/>
    <w:uiPriority w:val="99"/>
    <w:semiHidden/>
    <w:rsid w:val="006C76E7"/>
    <w:rPr>
      <w:b/>
      <w:bCs/>
      <w:sz w:val="20"/>
      <w:szCs w:val="20"/>
    </w:rPr>
  </w:style>
  <w:style w:type="paragraph" w:styleId="Testofumetto">
    <w:name w:val="Balloon Text"/>
    <w:basedOn w:val="Normale"/>
    <w:link w:val="TestofumettoCarattere"/>
    <w:uiPriority w:val="99"/>
    <w:semiHidden/>
    <w:unhideWhenUsed/>
    <w:rsid w:val="006C76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C76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2475</Characters>
  <Application>Microsoft Office Word</Application>
  <DocSecurity>0</DocSecurity>
  <Lines>36</Lines>
  <Paragraphs>11</Paragraphs>
  <ScaleCrop>false</ScaleCrop>
  <HeadingPairs>
    <vt:vector size="2" baseType="variant">
      <vt:variant>
        <vt:lpstr>Titolo</vt:lpstr>
      </vt:variant>
      <vt:variant>
        <vt:i4>1</vt:i4>
      </vt:variant>
    </vt:vector>
  </HeadingPairs>
  <TitlesOfParts>
    <vt:vector size="1" baseType="lpstr">
      <vt:lpstr/>
    </vt:vector>
  </TitlesOfParts>
  <Company>Regione Autonoma Sardegna</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Serena Novero</dc:creator>
  <cp:lastModifiedBy>Marco Salis</cp:lastModifiedBy>
  <cp:revision>2</cp:revision>
  <dcterms:created xsi:type="dcterms:W3CDTF">2026-09-04T12:07:00Z</dcterms:created>
  <dcterms:modified xsi:type="dcterms:W3CDTF">2026-09-04T12:07:00Z</dcterms:modified>
</cp:coreProperties>
</file>