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7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612" w:type="dxa"/>
          <w:right w:w="0" w:type="dxa"/>
        </w:tblCellMar>
        <w:tblLook w:val="04A0" w:firstRow="1" w:lastRow="0" w:firstColumn="1" w:lastColumn="0" w:noHBand="0" w:noVBand="1"/>
      </w:tblPr>
      <w:tblGrid>
        <w:gridCol w:w="7370"/>
      </w:tblGrid>
      <w:tr w:rsidR="00EE6765" w:rsidRPr="00473800" w14:paraId="497F5AFB" w14:textId="77777777" w:rsidTr="0033108C">
        <w:trPr>
          <w:trHeight w:hRule="exact" w:val="595"/>
        </w:trPr>
        <w:tc>
          <w:tcPr>
            <w:tcW w:w="7370" w:type="dxa"/>
          </w:tcPr>
          <w:p w14:paraId="1C998B3D" w14:textId="3D526BA9" w:rsidR="00EE6765" w:rsidRPr="00473800" w:rsidRDefault="00EE6765" w:rsidP="00EE6765">
            <w:pPr>
              <w:pStyle w:val="Titolo2"/>
            </w:pPr>
          </w:p>
        </w:tc>
      </w:tr>
      <w:tr w:rsidR="00D62638" w:rsidRPr="00473800" w14:paraId="0358193D" w14:textId="77777777" w:rsidTr="0002077D">
        <w:trPr>
          <w:trHeight w:hRule="exact" w:val="1758"/>
        </w:trPr>
        <w:tc>
          <w:tcPr>
            <w:tcW w:w="7370" w:type="dxa"/>
          </w:tcPr>
          <w:p w14:paraId="682C3773" w14:textId="0FAD5B09" w:rsidR="00D62638" w:rsidRPr="00473800" w:rsidRDefault="0094100D" w:rsidP="00591579">
            <w:pPr>
              <w:pStyle w:val="Titolo1"/>
              <w:ind w:left="567"/>
            </w:pPr>
            <w:r>
              <w:t xml:space="preserve">Schaeffler migliora la redditività </w:t>
            </w:r>
            <w:r>
              <w:br w:type="textWrapping" w:clear="all"/>
            </w:r>
            <w:r w:rsidR="00924D17">
              <w:t>nel primo semestre</w:t>
            </w:r>
            <w:r>
              <w:t xml:space="preserve"> del 2026</w:t>
            </w:r>
          </w:p>
        </w:tc>
      </w:tr>
      <w:tr w:rsidR="00AB5AB6" w:rsidRPr="00473800" w14:paraId="01799C92" w14:textId="77777777" w:rsidTr="00D764A7">
        <w:trPr>
          <w:trHeight w:hRule="exact" w:val="737"/>
        </w:trPr>
        <w:tc>
          <w:tcPr>
            <w:tcW w:w="7370" w:type="dxa"/>
          </w:tcPr>
          <w:p w14:paraId="65CCEBA9" w14:textId="77777777" w:rsidR="00AB5AB6" w:rsidRPr="00473800" w:rsidRDefault="00AB5AB6" w:rsidP="006A5C61"/>
        </w:tc>
      </w:tr>
    </w:tbl>
    <w:p w14:paraId="35AC6A57" w14:textId="5DA86B90" w:rsidR="00F453D9" w:rsidRPr="00473800" w:rsidRDefault="00EE6765" w:rsidP="00F453D9">
      <w:pPr>
        <w:pStyle w:val="Paragrafoelenco"/>
        <w:rPr>
          <w:spacing w:val="-2"/>
        </w:rPr>
      </w:pPr>
      <w:bookmarkStart w:id="0" w:name="_Hlk14262545"/>
      <w:r>
        <w:t>Fatturato pari a 11,7 miliardi di euro, al livello dell’anno precedente, nonostante un contesto di mercato sfidante (+0,4 percento al netto degli effetti di cambio)</w:t>
      </w:r>
    </w:p>
    <w:p w14:paraId="454CA34C" w14:textId="4CB29BE1" w:rsidR="009A04AD" w:rsidRPr="00715A0E" w:rsidRDefault="00C11E0B" w:rsidP="00F453D9">
      <w:pPr>
        <w:pStyle w:val="Paragrafoelenco"/>
      </w:pPr>
      <w:r>
        <w:t xml:space="preserve">Margine EBIT prima delle operazioni straordinarie al 4,7 percento, migliorato di circa il 15 percento (anno precedente: 4,1 percento) </w:t>
      </w:r>
    </w:p>
    <w:p w14:paraId="32786200" w14:textId="7B12F016" w:rsidR="00F453D9" w:rsidRPr="00715A0E" w:rsidRDefault="009A04AD" w:rsidP="00F453D9">
      <w:pPr>
        <w:pStyle w:val="Paragrafoelenco"/>
      </w:pPr>
      <w:r>
        <w:t>E-</w:t>
      </w:r>
      <w:proofErr w:type="spellStart"/>
      <w:r>
        <w:t>Mobility</w:t>
      </w:r>
      <w:proofErr w:type="spellEnd"/>
      <w:r>
        <w:t xml:space="preserve"> migliora continuamente il margine, </w:t>
      </w:r>
      <w:proofErr w:type="spellStart"/>
      <w:r>
        <w:t>Powertrain</w:t>
      </w:r>
      <w:proofErr w:type="spellEnd"/>
      <w:r>
        <w:t xml:space="preserve"> &amp; Chassis e </w:t>
      </w:r>
      <w:proofErr w:type="spellStart"/>
      <w:r>
        <w:t>Vehicle</w:t>
      </w:r>
      <w:proofErr w:type="spellEnd"/>
      <w:r>
        <w:t xml:space="preserve"> </w:t>
      </w:r>
      <w:proofErr w:type="spellStart"/>
      <w:r>
        <w:t>Lifetime</w:t>
      </w:r>
      <w:proofErr w:type="spellEnd"/>
      <w:r>
        <w:t xml:space="preserve"> Solutions contribuiscono notevolmente agli utili, </w:t>
      </w:r>
      <w:proofErr w:type="spellStart"/>
      <w:r>
        <w:t>Bearings</w:t>
      </w:r>
      <w:proofErr w:type="spellEnd"/>
      <w:r>
        <w:t xml:space="preserve"> &amp; Industrial Solutions migliora considerevolmente la qualità degli utili</w:t>
      </w:r>
    </w:p>
    <w:p w14:paraId="609BD716" w14:textId="61A5AA4F" w:rsidR="00C11E0B" w:rsidRPr="00715A0E" w:rsidRDefault="00C11E0B" w:rsidP="00F453D9">
      <w:pPr>
        <w:pStyle w:val="Paragrafoelenco"/>
      </w:pPr>
      <w:r>
        <w:t xml:space="preserve">Free cash flow prima dei flussi di cassa per attività M&amp;A (fusioni e acquisizioni) pari a -300 milioni di euro, inferiore all’anno precedente a causa dei flussi di cassa in uscita pianificati per ristrutturazione e integrazione (anno precedente: -128 milioni di euro) </w:t>
      </w:r>
    </w:p>
    <w:p w14:paraId="6C2C5EB2" w14:textId="5BBE627D" w:rsidR="00E23EFB" w:rsidRPr="00715A0E" w:rsidRDefault="00E23EFB" w:rsidP="00F453D9">
      <w:pPr>
        <w:pStyle w:val="Paragrafoelenco"/>
      </w:pPr>
      <w:r>
        <w:t>Outlook per l’intero esercizio 2026 confermato</w:t>
      </w:r>
    </w:p>
    <w:bookmarkEnd w:id="0"/>
    <w:p w14:paraId="4CF2CB92" w14:textId="701051AD" w:rsidR="00F453D9" w:rsidRPr="00715A0E" w:rsidRDefault="782E901F" w:rsidP="3ACCB127">
      <w:proofErr w:type="spellStart"/>
      <w:r>
        <w:t>Herzogenaurach</w:t>
      </w:r>
      <w:proofErr w:type="spellEnd"/>
      <w:r>
        <w:t xml:space="preserve">| 5 agosto 2026 | Schaeffler AG ha pubblicato oggi la sua relazione finanziaria per il primo semestre del 2026. In un contesto di mercato che permane difficile, l’azienda ha generato 11.667 milioni di euro di fatturato, un dato in linea con quello dell’anno precedente (anno precedente: 11.845 milioni di euro). Al netto degli effetti di cambio, il fatturato è cresciuto dello 0,4 percento. La sua struttura diversificata di Motion Technology Company con quattro divisioni orientate ai prodotti ha consentito al Gruppo Schaeffler di compensare gli andamenti di mercato in calo di alcuni segmenti con una crescita in altre aree. </w:t>
      </w:r>
    </w:p>
    <w:p w14:paraId="30624126" w14:textId="3A3D4956" w:rsidR="00200ACC" w:rsidRPr="00715A0E" w:rsidRDefault="00200ACC" w:rsidP="3ACCB127">
      <w:r>
        <w:t xml:space="preserve">A livello di Gruppo, durante il periodo di riferimento le </w:t>
      </w:r>
      <w:r w:rsidR="000F2C16">
        <w:t>R</w:t>
      </w:r>
      <w:r>
        <w:t xml:space="preserve">egioni </w:t>
      </w:r>
      <w:r w:rsidR="000F2C16">
        <w:t>Americas</w:t>
      </w:r>
      <w:r>
        <w:t xml:space="preserve"> (+0,9 percento) e </w:t>
      </w:r>
      <w:r w:rsidR="000F2C16">
        <w:t>Asia/Pacific</w:t>
      </w:r>
      <w:r>
        <w:t xml:space="preserve"> (+7,1 percento) hanno aumentato il fatturato, al netto degli effetti di cambio. Il fatturato delle </w:t>
      </w:r>
      <w:r w:rsidR="000F2C16">
        <w:t>R</w:t>
      </w:r>
      <w:r>
        <w:t>egioni Europ</w:t>
      </w:r>
      <w:r w:rsidR="000F2C16">
        <w:t>e</w:t>
      </w:r>
      <w:r>
        <w:t xml:space="preserve"> (-0,5 percento) e </w:t>
      </w:r>
      <w:r w:rsidR="000F2C16">
        <w:t>Greater China</w:t>
      </w:r>
      <w:r>
        <w:t xml:space="preserve"> (-3,7 percento) è stato inferiore a quello dell’anno precedente al netto degli effetti di cambio. </w:t>
      </w:r>
    </w:p>
    <w:p w14:paraId="5F131154" w14:textId="77777777" w:rsidR="000F2C16" w:rsidRDefault="0083206E" w:rsidP="3ACCB127">
      <w:r>
        <w:t xml:space="preserve">Il Gruppo Schaeffler ha generato 549 milioni di euro in EBIT prima delle operazioni straordinarie nei primi sei mesi dell’anno (anno precedente: 482 milioni di euro). </w:t>
      </w:r>
    </w:p>
    <w:p w14:paraId="5A1FF93D" w14:textId="65A4118A" w:rsidR="000F2C16" w:rsidRDefault="000F2C16" w:rsidP="3ACCB127">
      <w:r>
        <w:lastRenderedPageBreak/>
        <w:t xml:space="preserve">Il Gruppo Schaeffler ha generato un EBIT pari a 549 milioni di euro prima delle operazioni straordinarie nei primi sei mesi dell’anno (anno precedente: 482 milioni di euro). </w:t>
      </w:r>
    </w:p>
    <w:p w14:paraId="5C6DD5B8" w14:textId="687D2410" w:rsidR="0083206E" w:rsidRPr="00715A0E" w:rsidRDefault="0083206E" w:rsidP="3ACCB127">
      <w:r>
        <w:t xml:space="preserve">Ciò </w:t>
      </w:r>
      <w:r w:rsidR="000F2C16">
        <w:t>corrisponde a</w:t>
      </w:r>
      <w:r>
        <w:t xml:space="preserve"> un margine EBIT prima delle operazioni straordinarie del 4,7 percento (anno precedente: 4,1 percento).</w:t>
      </w:r>
    </w:p>
    <w:p w14:paraId="1A000AB9" w14:textId="22ABB49F" w:rsidR="0083206E" w:rsidRPr="00473800" w:rsidRDefault="00ED746B" w:rsidP="3ACCB127">
      <w:r>
        <w:t xml:space="preserve">“Nonostante un contesto globale che permane difficile e in rapida evoluzione, nella prima metà del 2026 il Gruppo Schaeffler ha mantenuto il fatturato al livello dell’anno precedente generando buoni utili. L’elemento </w:t>
      </w:r>
      <w:r w:rsidR="000F2C16">
        <w:t>fondamentale</w:t>
      </w:r>
      <w:r>
        <w:t xml:space="preserve"> di questo risultato è la nostra struttura diversificata di Motion Technology Company con quattro divisioni orientate ai prodotti e le nostre nuove aree di crescita. Durante il periodo in esame abbiamo continuato a compiere buoni progressi soprattutto nei settori della robotica umanoide e </w:t>
      </w:r>
      <w:r w:rsidR="000F2C16">
        <w:t>della difesa</w:t>
      </w:r>
      <w:r>
        <w:t xml:space="preserve">. Come gruppo tecnologico integrato siamo in grado di rispondere in modo flessibile agli sviluppi dinamici del mercato e di assorbire ampiamente il loro impatto all’interno del nostro portafoglio prodotti. Confermiamo le nostre previsioni per l’intero esercizio 2026”, ha dichiarato Klaus Rosenfeld, CEO di Schaeffler AG. </w:t>
      </w:r>
    </w:p>
    <w:p w14:paraId="15FBA562" w14:textId="77777777" w:rsidR="00EE6765" w:rsidRPr="00715A0E" w:rsidRDefault="00EE6765" w:rsidP="00B13126"/>
    <w:tbl>
      <w:tblPr>
        <w:tblW w:w="8664" w:type="dxa"/>
        <w:tblLayout w:type="fixed"/>
        <w:tblCellMar>
          <w:left w:w="70" w:type="dxa"/>
          <w:right w:w="70" w:type="dxa"/>
        </w:tblCellMar>
        <w:tblLook w:val="04A0" w:firstRow="1" w:lastRow="0" w:firstColumn="1" w:lastColumn="0" w:noHBand="0" w:noVBand="1"/>
      </w:tblPr>
      <w:tblGrid>
        <w:gridCol w:w="1630"/>
        <w:gridCol w:w="170"/>
        <w:gridCol w:w="850"/>
        <w:gridCol w:w="215"/>
        <w:gridCol w:w="850"/>
        <w:gridCol w:w="215"/>
        <w:gridCol w:w="1191"/>
        <w:gridCol w:w="217"/>
        <w:gridCol w:w="850"/>
        <w:gridCol w:w="217"/>
        <w:gridCol w:w="850"/>
        <w:gridCol w:w="217"/>
        <w:gridCol w:w="1192"/>
      </w:tblGrid>
      <w:tr w:rsidR="00EE6765" w:rsidRPr="00715A0E" w14:paraId="1D103AAE" w14:textId="77777777" w:rsidTr="00C431A7">
        <w:trPr>
          <w:trHeight w:val="283"/>
        </w:trPr>
        <w:tc>
          <w:tcPr>
            <w:tcW w:w="8664" w:type="dxa"/>
            <w:gridSpan w:val="13"/>
            <w:tcBorders>
              <w:left w:val="nil"/>
              <w:right w:val="nil"/>
            </w:tcBorders>
            <w:noWrap/>
            <w:vAlign w:val="center"/>
          </w:tcPr>
          <w:p w14:paraId="17B88698" w14:textId="77777777" w:rsidR="00EE6765" w:rsidRPr="00715A0E" w:rsidRDefault="00EE6765" w:rsidP="00C431A7">
            <w:pPr>
              <w:spacing w:line="240" w:lineRule="auto"/>
              <w:rPr>
                <w:rFonts w:ascii="Calibri" w:eastAsia="Times New Roman" w:hAnsi="Calibri" w:cs="Calibri"/>
                <w:b/>
                <w:bCs/>
                <w:sz w:val="14"/>
                <w:szCs w:val="14"/>
              </w:rPr>
            </w:pPr>
            <w:r>
              <w:rPr>
                <w:rFonts w:ascii="Calibri" w:hAnsi="Calibri"/>
                <w:b/>
              </w:rPr>
              <w:t>Principali dati finanziari del Gruppo Schaeffler</w:t>
            </w:r>
          </w:p>
        </w:tc>
      </w:tr>
      <w:tr w:rsidR="00EE6765" w:rsidRPr="00715A0E" w14:paraId="0F7C1511" w14:textId="77777777" w:rsidTr="00FE1F8D">
        <w:trPr>
          <w:trHeight w:val="283"/>
        </w:trPr>
        <w:tc>
          <w:tcPr>
            <w:tcW w:w="1630" w:type="dxa"/>
            <w:tcBorders>
              <w:left w:val="nil"/>
              <w:right w:val="nil"/>
            </w:tcBorders>
            <w:noWrap/>
            <w:vAlign w:val="center"/>
          </w:tcPr>
          <w:p w14:paraId="12A7E74D"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170" w:type="dxa"/>
            <w:tcBorders>
              <w:left w:val="nil"/>
              <w:right w:val="nil"/>
            </w:tcBorders>
            <w:vAlign w:val="center"/>
          </w:tcPr>
          <w:p w14:paraId="4E613064"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850" w:type="dxa"/>
            <w:tcBorders>
              <w:left w:val="nil"/>
              <w:right w:val="nil"/>
            </w:tcBorders>
            <w:vAlign w:val="center"/>
          </w:tcPr>
          <w:p w14:paraId="018A47BF"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1065" w:type="dxa"/>
            <w:gridSpan w:val="2"/>
            <w:tcBorders>
              <w:left w:val="nil"/>
              <w:right w:val="nil"/>
            </w:tcBorders>
            <w:vAlign w:val="center"/>
          </w:tcPr>
          <w:p w14:paraId="30EF0E94" w14:textId="52889E8E" w:rsidR="00EE6765" w:rsidRPr="00715A0E" w:rsidRDefault="00EE6765" w:rsidP="00DB2494">
            <w:pPr>
              <w:spacing w:line="240" w:lineRule="auto"/>
              <w:jc w:val="right"/>
              <w:rPr>
                <w:rFonts w:ascii="Calibri" w:eastAsia="Times New Roman" w:hAnsi="Calibri" w:cs="Calibri"/>
                <w:sz w:val="14"/>
                <w:szCs w:val="14"/>
              </w:rPr>
            </w:pPr>
            <w:r>
              <w:rPr>
                <w:rFonts w:ascii="Calibri" w:hAnsi="Calibri"/>
                <w:sz w:val="14"/>
              </w:rPr>
              <w:t xml:space="preserve"> Primi sei mesi</w:t>
            </w:r>
          </w:p>
        </w:tc>
        <w:tc>
          <w:tcPr>
            <w:tcW w:w="215" w:type="dxa"/>
            <w:tcBorders>
              <w:left w:val="nil"/>
              <w:right w:val="nil"/>
            </w:tcBorders>
            <w:vAlign w:val="center"/>
          </w:tcPr>
          <w:p w14:paraId="5E0F1357"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1191" w:type="dxa"/>
            <w:tcBorders>
              <w:left w:val="nil"/>
              <w:right w:val="nil"/>
            </w:tcBorders>
            <w:vAlign w:val="center"/>
          </w:tcPr>
          <w:p w14:paraId="0365D234"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217" w:type="dxa"/>
            <w:tcBorders>
              <w:left w:val="nil"/>
              <w:right w:val="nil"/>
            </w:tcBorders>
            <w:vAlign w:val="center"/>
          </w:tcPr>
          <w:p w14:paraId="743DCBBC"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850" w:type="dxa"/>
            <w:tcBorders>
              <w:left w:val="nil"/>
              <w:right w:val="nil"/>
            </w:tcBorders>
            <w:vAlign w:val="center"/>
          </w:tcPr>
          <w:p w14:paraId="01BDEA01"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217" w:type="dxa"/>
            <w:tcBorders>
              <w:left w:val="nil"/>
              <w:right w:val="nil"/>
            </w:tcBorders>
            <w:vAlign w:val="center"/>
          </w:tcPr>
          <w:p w14:paraId="6DC6E1D5"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850" w:type="dxa"/>
            <w:tcBorders>
              <w:left w:val="nil"/>
              <w:right w:val="nil"/>
            </w:tcBorders>
            <w:vAlign w:val="center"/>
          </w:tcPr>
          <w:p w14:paraId="01D28E70" w14:textId="77777777" w:rsidR="00EE6765" w:rsidRPr="00715A0E" w:rsidRDefault="00EE6765" w:rsidP="00DB2494">
            <w:pPr>
              <w:spacing w:line="240" w:lineRule="auto"/>
              <w:jc w:val="right"/>
              <w:rPr>
                <w:rFonts w:ascii="Calibri" w:eastAsia="Times New Roman" w:hAnsi="Calibri" w:cs="Calibri"/>
                <w:sz w:val="14"/>
                <w:szCs w:val="14"/>
              </w:rPr>
            </w:pPr>
            <w:proofErr w:type="gramStart"/>
            <w:r>
              <w:rPr>
                <w:rFonts w:ascii="Calibri" w:hAnsi="Calibri"/>
                <w:sz w:val="14"/>
              </w:rPr>
              <w:t>2</w:t>
            </w:r>
            <w:r>
              <w:rPr>
                <w:rFonts w:ascii="Calibri" w:hAnsi="Calibri"/>
                <w:sz w:val="14"/>
                <w:vertAlign w:val="superscript"/>
              </w:rPr>
              <w:t>°</w:t>
            </w:r>
            <w:proofErr w:type="gramEnd"/>
            <w:r>
              <w:rPr>
                <w:rFonts w:ascii="Calibri" w:hAnsi="Calibri"/>
                <w:sz w:val="14"/>
              </w:rPr>
              <w:t xml:space="preserve"> trimestre</w:t>
            </w:r>
          </w:p>
        </w:tc>
        <w:tc>
          <w:tcPr>
            <w:tcW w:w="217" w:type="dxa"/>
            <w:tcBorders>
              <w:left w:val="nil"/>
              <w:right w:val="nil"/>
            </w:tcBorders>
          </w:tcPr>
          <w:p w14:paraId="05AF1204"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1192" w:type="dxa"/>
            <w:tcBorders>
              <w:left w:val="nil"/>
              <w:right w:val="nil"/>
            </w:tcBorders>
          </w:tcPr>
          <w:p w14:paraId="2852E731"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r>
      <w:tr w:rsidR="00EE6765" w:rsidRPr="00715A0E" w14:paraId="14C51735" w14:textId="77777777" w:rsidTr="00FE1F8D">
        <w:trPr>
          <w:trHeight w:val="283"/>
        </w:trPr>
        <w:tc>
          <w:tcPr>
            <w:tcW w:w="1630" w:type="dxa"/>
            <w:tcBorders>
              <w:left w:val="nil"/>
              <w:bottom w:val="single" w:sz="8" w:space="0" w:color="707070"/>
              <w:right w:val="nil"/>
            </w:tcBorders>
            <w:noWrap/>
            <w:vAlign w:val="center"/>
            <w:hideMark/>
          </w:tcPr>
          <w:p w14:paraId="2640E257"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in milioni di €</w:t>
            </w:r>
          </w:p>
        </w:tc>
        <w:tc>
          <w:tcPr>
            <w:tcW w:w="170" w:type="dxa"/>
            <w:tcBorders>
              <w:left w:val="nil"/>
              <w:bottom w:val="nil"/>
              <w:right w:val="nil"/>
            </w:tcBorders>
            <w:noWrap/>
            <w:vAlign w:val="bottom"/>
            <w:hideMark/>
          </w:tcPr>
          <w:p w14:paraId="2237E56F"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850" w:type="dxa"/>
            <w:tcBorders>
              <w:top w:val="single" w:sz="4" w:space="0" w:color="auto"/>
              <w:left w:val="nil"/>
              <w:bottom w:val="single" w:sz="8" w:space="0" w:color="707070"/>
              <w:right w:val="nil"/>
            </w:tcBorders>
            <w:noWrap/>
            <w:vAlign w:val="center"/>
            <w:hideMark/>
          </w:tcPr>
          <w:p w14:paraId="55698989" w14:textId="10E76827"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2026</w:t>
            </w:r>
          </w:p>
        </w:tc>
        <w:tc>
          <w:tcPr>
            <w:tcW w:w="215" w:type="dxa"/>
            <w:tcBorders>
              <w:top w:val="single" w:sz="4" w:space="0" w:color="auto"/>
              <w:left w:val="nil"/>
              <w:bottom w:val="nil"/>
              <w:right w:val="nil"/>
            </w:tcBorders>
            <w:noWrap/>
            <w:vAlign w:val="bottom"/>
            <w:hideMark/>
          </w:tcPr>
          <w:p w14:paraId="4CCE236C"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850" w:type="dxa"/>
            <w:tcBorders>
              <w:top w:val="single" w:sz="4" w:space="0" w:color="auto"/>
              <w:left w:val="nil"/>
              <w:bottom w:val="single" w:sz="8" w:space="0" w:color="707070"/>
              <w:right w:val="nil"/>
            </w:tcBorders>
            <w:vAlign w:val="center"/>
          </w:tcPr>
          <w:p w14:paraId="1B31D5E1" w14:textId="6855A318"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2025</w:t>
            </w:r>
          </w:p>
        </w:tc>
        <w:tc>
          <w:tcPr>
            <w:tcW w:w="215" w:type="dxa"/>
            <w:tcBorders>
              <w:top w:val="single" w:sz="4" w:space="0" w:color="auto"/>
              <w:left w:val="nil"/>
              <w:right w:val="nil"/>
            </w:tcBorders>
            <w:vAlign w:val="center"/>
          </w:tcPr>
          <w:p w14:paraId="61E6E4F0"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1" w:type="dxa"/>
            <w:tcBorders>
              <w:top w:val="single" w:sz="4" w:space="0" w:color="auto"/>
              <w:left w:val="nil"/>
              <w:bottom w:val="single" w:sz="8" w:space="0" w:color="707070"/>
              <w:right w:val="nil"/>
            </w:tcBorders>
            <w:vAlign w:val="center"/>
          </w:tcPr>
          <w:p w14:paraId="71E9C0F9" w14:textId="56B17D12" w:rsidR="00EE6765" w:rsidRPr="00715A0E" w:rsidRDefault="00FE1F8D" w:rsidP="00C431A7">
            <w:pPr>
              <w:spacing w:line="240" w:lineRule="auto"/>
              <w:jc w:val="right"/>
              <w:rPr>
                <w:rFonts w:ascii="Calibri" w:eastAsia="Times New Roman" w:hAnsi="Calibri" w:cs="Calibri"/>
                <w:sz w:val="14"/>
                <w:szCs w:val="14"/>
              </w:rPr>
            </w:pPr>
            <w:r>
              <w:rPr>
                <w:rFonts w:ascii="Calibri" w:hAnsi="Calibri"/>
                <w:sz w:val="14"/>
              </w:rPr>
              <w:t>Variazione in %</w:t>
            </w:r>
          </w:p>
        </w:tc>
        <w:tc>
          <w:tcPr>
            <w:tcW w:w="217" w:type="dxa"/>
            <w:tcBorders>
              <w:left w:val="nil"/>
              <w:right w:val="nil"/>
            </w:tcBorders>
          </w:tcPr>
          <w:p w14:paraId="2F9CFEFA"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single" w:sz="4" w:space="0" w:color="auto"/>
              <w:left w:val="nil"/>
              <w:bottom w:val="single" w:sz="8" w:space="0" w:color="707070"/>
              <w:right w:val="nil"/>
            </w:tcBorders>
            <w:vAlign w:val="center"/>
          </w:tcPr>
          <w:p w14:paraId="34EE93AA" w14:textId="232B5E28"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2026</w:t>
            </w:r>
          </w:p>
        </w:tc>
        <w:tc>
          <w:tcPr>
            <w:tcW w:w="217" w:type="dxa"/>
            <w:tcBorders>
              <w:top w:val="single" w:sz="4" w:space="0" w:color="auto"/>
              <w:left w:val="nil"/>
              <w:right w:val="nil"/>
            </w:tcBorders>
          </w:tcPr>
          <w:p w14:paraId="3FA3A83D"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single" w:sz="4" w:space="0" w:color="auto"/>
              <w:left w:val="nil"/>
              <w:bottom w:val="single" w:sz="8" w:space="0" w:color="707070"/>
              <w:right w:val="nil"/>
            </w:tcBorders>
            <w:vAlign w:val="center"/>
          </w:tcPr>
          <w:p w14:paraId="047A10F1" w14:textId="7E42ED87"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2025</w:t>
            </w:r>
          </w:p>
        </w:tc>
        <w:tc>
          <w:tcPr>
            <w:tcW w:w="217" w:type="dxa"/>
            <w:tcBorders>
              <w:top w:val="single" w:sz="4" w:space="0" w:color="auto"/>
              <w:left w:val="nil"/>
              <w:right w:val="nil"/>
            </w:tcBorders>
          </w:tcPr>
          <w:p w14:paraId="59E8ACCA"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2" w:type="dxa"/>
            <w:tcBorders>
              <w:top w:val="single" w:sz="4" w:space="0" w:color="auto"/>
              <w:left w:val="nil"/>
              <w:bottom w:val="single" w:sz="8" w:space="0" w:color="707070"/>
              <w:right w:val="nil"/>
            </w:tcBorders>
            <w:vAlign w:val="center"/>
          </w:tcPr>
          <w:p w14:paraId="4E39A6E9" w14:textId="1D49EF1C" w:rsidR="00EE6765" w:rsidRPr="00715A0E" w:rsidRDefault="00FE1F8D" w:rsidP="00C431A7">
            <w:pPr>
              <w:spacing w:line="240" w:lineRule="auto"/>
              <w:jc w:val="right"/>
              <w:rPr>
                <w:rFonts w:ascii="Calibri" w:eastAsia="Times New Roman" w:hAnsi="Calibri" w:cs="Calibri"/>
                <w:sz w:val="14"/>
                <w:szCs w:val="14"/>
              </w:rPr>
            </w:pPr>
            <w:r>
              <w:rPr>
                <w:rFonts w:ascii="Calibri" w:hAnsi="Calibri"/>
                <w:sz w:val="14"/>
              </w:rPr>
              <w:t>Variazione in %</w:t>
            </w:r>
          </w:p>
        </w:tc>
      </w:tr>
      <w:tr w:rsidR="00EE6765" w:rsidRPr="00715A0E" w14:paraId="0D9C94F3" w14:textId="77777777" w:rsidTr="00FE1F8D">
        <w:trPr>
          <w:trHeight w:val="300"/>
        </w:trPr>
        <w:tc>
          <w:tcPr>
            <w:tcW w:w="1630" w:type="dxa"/>
            <w:tcBorders>
              <w:top w:val="nil"/>
              <w:left w:val="nil"/>
              <w:bottom w:val="nil"/>
              <w:right w:val="nil"/>
            </w:tcBorders>
            <w:vAlign w:val="center"/>
            <w:hideMark/>
          </w:tcPr>
          <w:p w14:paraId="68180892"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Fatturato</w:t>
            </w:r>
          </w:p>
        </w:tc>
        <w:tc>
          <w:tcPr>
            <w:tcW w:w="170" w:type="dxa"/>
            <w:tcBorders>
              <w:top w:val="nil"/>
              <w:left w:val="nil"/>
              <w:bottom w:val="nil"/>
              <w:right w:val="nil"/>
            </w:tcBorders>
            <w:noWrap/>
            <w:vAlign w:val="bottom"/>
            <w:hideMark/>
          </w:tcPr>
          <w:p w14:paraId="7D0DAB57"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850" w:type="dxa"/>
            <w:tcBorders>
              <w:top w:val="nil"/>
              <w:left w:val="nil"/>
              <w:bottom w:val="single" w:sz="8" w:space="0" w:color="707070"/>
              <w:right w:val="nil"/>
            </w:tcBorders>
            <w:noWrap/>
            <w:vAlign w:val="center"/>
            <w:hideMark/>
          </w:tcPr>
          <w:p w14:paraId="107334CD" w14:textId="3BF7CECA"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11.667</w:t>
            </w:r>
          </w:p>
        </w:tc>
        <w:tc>
          <w:tcPr>
            <w:tcW w:w="215" w:type="dxa"/>
            <w:tcBorders>
              <w:top w:val="nil"/>
              <w:left w:val="nil"/>
              <w:bottom w:val="nil"/>
              <w:right w:val="nil"/>
            </w:tcBorders>
            <w:noWrap/>
            <w:vAlign w:val="bottom"/>
            <w:hideMark/>
          </w:tcPr>
          <w:p w14:paraId="2EBD4A41"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850" w:type="dxa"/>
            <w:tcBorders>
              <w:top w:val="single" w:sz="8" w:space="0" w:color="707070"/>
              <w:left w:val="nil"/>
              <w:bottom w:val="single" w:sz="8" w:space="0" w:color="707070"/>
              <w:right w:val="nil"/>
            </w:tcBorders>
          </w:tcPr>
          <w:p w14:paraId="2ED678C8" w14:textId="760C3C18"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11.845</w:t>
            </w:r>
          </w:p>
        </w:tc>
        <w:tc>
          <w:tcPr>
            <w:tcW w:w="215" w:type="dxa"/>
            <w:tcBorders>
              <w:top w:val="nil"/>
              <w:left w:val="nil"/>
              <w:bottom w:val="nil"/>
              <w:right w:val="nil"/>
            </w:tcBorders>
            <w:noWrap/>
            <w:vAlign w:val="bottom"/>
            <w:hideMark/>
          </w:tcPr>
          <w:p w14:paraId="74E449F9"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1" w:type="dxa"/>
            <w:tcBorders>
              <w:top w:val="single" w:sz="8" w:space="0" w:color="707070"/>
              <w:left w:val="nil"/>
              <w:bottom w:val="single" w:sz="8" w:space="0" w:color="707070"/>
              <w:right w:val="nil"/>
            </w:tcBorders>
            <w:noWrap/>
            <w:vAlign w:val="center"/>
            <w:hideMark/>
          </w:tcPr>
          <w:p w14:paraId="74F6D3EF" w14:textId="5C2821B6"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-1,5</w:t>
            </w:r>
          </w:p>
        </w:tc>
        <w:tc>
          <w:tcPr>
            <w:tcW w:w="217" w:type="dxa"/>
            <w:tcBorders>
              <w:left w:val="nil"/>
              <w:right w:val="nil"/>
            </w:tcBorders>
          </w:tcPr>
          <w:p w14:paraId="3C2D690B"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single" w:sz="8" w:space="0" w:color="707070"/>
              <w:left w:val="nil"/>
              <w:bottom w:val="single" w:sz="8" w:space="0" w:color="707070"/>
              <w:right w:val="nil"/>
            </w:tcBorders>
          </w:tcPr>
          <w:p w14:paraId="35239028" w14:textId="6D2020D5"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5.903</w:t>
            </w:r>
          </w:p>
        </w:tc>
        <w:tc>
          <w:tcPr>
            <w:tcW w:w="217" w:type="dxa"/>
            <w:tcBorders>
              <w:left w:val="nil"/>
              <w:right w:val="nil"/>
            </w:tcBorders>
          </w:tcPr>
          <w:p w14:paraId="305E1B1C"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single" w:sz="8" w:space="0" w:color="707070"/>
              <w:left w:val="nil"/>
              <w:bottom w:val="single" w:sz="8" w:space="0" w:color="707070"/>
              <w:right w:val="nil"/>
            </w:tcBorders>
          </w:tcPr>
          <w:p w14:paraId="2542CD14" w14:textId="7CD711EE" w:rsidR="00EE6765" w:rsidRPr="00715A0E" w:rsidRDefault="00CD7709" w:rsidP="00C431A7">
            <w:pPr>
              <w:spacing w:line="240" w:lineRule="auto"/>
              <w:jc w:val="right"/>
              <w:rPr>
                <w:rFonts w:ascii="Calibri" w:eastAsia="Times New Roman" w:hAnsi="Calibri" w:cs="Calibri"/>
                <w:sz w:val="14"/>
                <w:szCs w:val="14"/>
              </w:rPr>
            </w:pPr>
            <w:r>
              <w:rPr>
                <w:rFonts w:ascii="Calibri" w:hAnsi="Calibri"/>
                <w:sz w:val="14"/>
              </w:rPr>
              <w:t>5.922</w:t>
            </w:r>
          </w:p>
        </w:tc>
        <w:tc>
          <w:tcPr>
            <w:tcW w:w="217" w:type="dxa"/>
            <w:tcBorders>
              <w:left w:val="nil"/>
              <w:right w:val="nil"/>
            </w:tcBorders>
          </w:tcPr>
          <w:p w14:paraId="0EC22BD2"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2" w:type="dxa"/>
            <w:tcBorders>
              <w:top w:val="single" w:sz="8" w:space="0" w:color="707070"/>
              <w:left w:val="nil"/>
              <w:bottom w:val="single" w:sz="8" w:space="0" w:color="707070"/>
              <w:right w:val="nil"/>
            </w:tcBorders>
          </w:tcPr>
          <w:p w14:paraId="4A17C991" w14:textId="46B6A584"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-0,3</w:t>
            </w:r>
          </w:p>
        </w:tc>
      </w:tr>
      <w:tr w:rsidR="00EE6765" w:rsidRPr="00715A0E" w14:paraId="3CBEBE45" w14:textId="77777777" w:rsidTr="00FE1F8D">
        <w:trPr>
          <w:trHeight w:val="300"/>
        </w:trPr>
        <w:tc>
          <w:tcPr>
            <w:tcW w:w="1630" w:type="dxa"/>
            <w:tcBorders>
              <w:top w:val="single" w:sz="8" w:space="0" w:color="707070"/>
              <w:left w:val="nil"/>
              <w:bottom w:val="single" w:sz="8" w:space="0" w:color="707070"/>
              <w:right w:val="nil"/>
            </w:tcBorders>
            <w:vAlign w:val="center"/>
            <w:hideMark/>
          </w:tcPr>
          <w:p w14:paraId="4B0AD683"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2"/>
              </w:rPr>
              <w:t>• a valuta costante</w:t>
            </w:r>
          </w:p>
        </w:tc>
        <w:tc>
          <w:tcPr>
            <w:tcW w:w="170" w:type="dxa"/>
            <w:tcBorders>
              <w:top w:val="nil"/>
              <w:left w:val="nil"/>
              <w:bottom w:val="nil"/>
              <w:right w:val="nil"/>
            </w:tcBorders>
            <w:noWrap/>
            <w:vAlign w:val="bottom"/>
            <w:hideMark/>
          </w:tcPr>
          <w:p w14:paraId="79D44E2E"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850" w:type="dxa"/>
            <w:tcBorders>
              <w:top w:val="nil"/>
              <w:left w:val="nil"/>
              <w:bottom w:val="single" w:sz="8" w:space="0" w:color="707070"/>
              <w:right w:val="nil"/>
            </w:tcBorders>
            <w:noWrap/>
            <w:vAlign w:val="center"/>
            <w:hideMark/>
          </w:tcPr>
          <w:p w14:paraId="60C83ECF" w14:textId="77777777" w:rsidR="00EE6765" w:rsidRPr="00715A0E" w:rsidRDefault="00EE6765" w:rsidP="00C431A7">
            <w:pPr>
              <w:spacing w:line="240" w:lineRule="auto"/>
              <w:rPr>
                <w:rFonts w:ascii="Calibri" w:eastAsia="Times New Roman" w:hAnsi="Calibri" w:cs="Calibri"/>
                <w:color w:val="00B050"/>
                <w:sz w:val="12"/>
                <w:szCs w:val="12"/>
              </w:rPr>
            </w:pPr>
            <w:r>
              <w:rPr>
                <w:rFonts w:ascii="Calibri" w:hAnsi="Calibri"/>
                <w:color w:val="00B050"/>
                <w:sz w:val="12"/>
              </w:rPr>
              <w:t> </w:t>
            </w:r>
          </w:p>
        </w:tc>
        <w:tc>
          <w:tcPr>
            <w:tcW w:w="215" w:type="dxa"/>
            <w:tcBorders>
              <w:top w:val="nil"/>
              <w:left w:val="nil"/>
              <w:bottom w:val="nil"/>
              <w:right w:val="nil"/>
            </w:tcBorders>
            <w:noWrap/>
            <w:vAlign w:val="bottom"/>
            <w:hideMark/>
          </w:tcPr>
          <w:p w14:paraId="7D1E6E07" w14:textId="77777777" w:rsidR="00EE6765" w:rsidRPr="00715A0E" w:rsidRDefault="00EE6765" w:rsidP="00C431A7">
            <w:pPr>
              <w:spacing w:line="240" w:lineRule="auto"/>
              <w:rPr>
                <w:rFonts w:ascii="Calibri" w:eastAsia="Times New Roman" w:hAnsi="Calibri" w:cs="Calibri"/>
                <w:color w:val="00B050"/>
                <w:sz w:val="12"/>
                <w:szCs w:val="12"/>
                <w:lang w:eastAsia="de-DE"/>
              </w:rPr>
            </w:pPr>
          </w:p>
        </w:tc>
        <w:tc>
          <w:tcPr>
            <w:tcW w:w="850" w:type="dxa"/>
            <w:tcBorders>
              <w:top w:val="single" w:sz="8" w:space="0" w:color="707070"/>
              <w:left w:val="nil"/>
              <w:bottom w:val="single" w:sz="8" w:space="0" w:color="707070"/>
              <w:right w:val="nil"/>
            </w:tcBorders>
          </w:tcPr>
          <w:p w14:paraId="136FF2CA"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215" w:type="dxa"/>
            <w:tcBorders>
              <w:top w:val="nil"/>
              <w:left w:val="nil"/>
              <w:bottom w:val="nil"/>
              <w:right w:val="nil"/>
            </w:tcBorders>
            <w:noWrap/>
            <w:vAlign w:val="bottom"/>
            <w:hideMark/>
          </w:tcPr>
          <w:p w14:paraId="48C1E6C1"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191" w:type="dxa"/>
            <w:tcBorders>
              <w:top w:val="nil"/>
              <w:left w:val="nil"/>
              <w:bottom w:val="single" w:sz="8" w:space="0" w:color="707070"/>
              <w:right w:val="nil"/>
            </w:tcBorders>
            <w:noWrap/>
            <w:vAlign w:val="center"/>
            <w:hideMark/>
          </w:tcPr>
          <w:p w14:paraId="51BE5CDE" w14:textId="57F9D33F" w:rsidR="00EE6765" w:rsidRPr="00715A0E" w:rsidRDefault="00CD7709" w:rsidP="00C431A7">
            <w:pPr>
              <w:spacing w:line="240" w:lineRule="auto"/>
              <w:jc w:val="right"/>
              <w:rPr>
                <w:rFonts w:ascii="Calibri" w:eastAsia="Times New Roman" w:hAnsi="Calibri" w:cs="Calibri"/>
                <w:sz w:val="12"/>
                <w:szCs w:val="12"/>
              </w:rPr>
            </w:pPr>
            <w:r>
              <w:rPr>
                <w:rFonts w:ascii="Calibri" w:hAnsi="Calibri"/>
                <w:sz w:val="12"/>
              </w:rPr>
              <w:t>0,4</w:t>
            </w:r>
          </w:p>
        </w:tc>
        <w:tc>
          <w:tcPr>
            <w:tcW w:w="217" w:type="dxa"/>
            <w:tcBorders>
              <w:top w:val="nil"/>
              <w:left w:val="nil"/>
              <w:right w:val="nil"/>
            </w:tcBorders>
          </w:tcPr>
          <w:p w14:paraId="0EFD99ED"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850" w:type="dxa"/>
            <w:tcBorders>
              <w:top w:val="nil"/>
              <w:left w:val="nil"/>
              <w:bottom w:val="single" w:sz="8" w:space="0" w:color="707070"/>
              <w:right w:val="nil"/>
            </w:tcBorders>
          </w:tcPr>
          <w:p w14:paraId="3206D471"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217" w:type="dxa"/>
            <w:tcBorders>
              <w:top w:val="nil"/>
              <w:left w:val="nil"/>
              <w:right w:val="nil"/>
            </w:tcBorders>
          </w:tcPr>
          <w:p w14:paraId="4B10C77F"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850" w:type="dxa"/>
            <w:tcBorders>
              <w:top w:val="nil"/>
              <w:left w:val="nil"/>
              <w:bottom w:val="single" w:sz="8" w:space="0" w:color="707070"/>
              <w:right w:val="nil"/>
            </w:tcBorders>
          </w:tcPr>
          <w:p w14:paraId="5DC221CF"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217" w:type="dxa"/>
            <w:tcBorders>
              <w:top w:val="nil"/>
              <w:left w:val="nil"/>
              <w:right w:val="nil"/>
            </w:tcBorders>
          </w:tcPr>
          <w:p w14:paraId="7B97F7C2"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192" w:type="dxa"/>
            <w:tcBorders>
              <w:top w:val="nil"/>
              <w:left w:val="nil"/>
              <w:bottom w:val="single" w:sz="8" w:space="0" w:color="707070"/>
              <w:right w:val="nil"/>
            </w:tcBorders>
          </w:tcPr>
          <w:p w14:paraId="1008CD75" w14:textId="4D55A691"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-0,3</w:t>
            </w:r>
          </w:p>
        </w:tc>
      </w:tr>
      <w:tr w:rsidR="00EE6765" w:rsidRPr="00715A0E" w14:paraId="18F185FF" w14:textId="77777777" w:rsidTr="00FE1F8D">
        <w:trPr>
          <w:trHeight w:val="300"/>
        </w:trPr>
        <w:tc>
          <w:tcPr>
            <w:tcW w:w="1630" w:type="dxa"/>
            <w:tcBorders>
              <w:top w:val="nil"/>
              <w:left w:val="nil"/>
              <w:bottom w:val="single" w:sz="8" w:space="0" w:color="707070"/>
              <w:right w:val="nil"/>
            </w:tcBorders>
            <w:vAlign w:val="center"/>
            <w:hideMark/>
          </w:tcPr>
          <w:p w14:paraId="7C9642D1" w14:textId="5CB75D4F" w:rsidR="00EE6765" w:rsidRPr="00715A0E" w:rsidRDefault="00FE1F8D" w:rsidP="00C431A7">
            <w:pPr>
              <w:spacing w:line="240" w:lineRule="auto"/>
              <w:rPr>
                <w:rFonts w:ascii="Calibri" w:eastAsia="Times New Roman" w:hAnsi="Calibri" w:cs="Calibri"/>
                <w:sz w:val="14"/>
                <w:szCs w:val="14"/>
              </w:rPr>
            </w:pPr>
            <w:r>
              <w:rPr>
                <w:rFonts w:ascii="Calibri" w:hAnsi="Calibri"/>
                <w:sz w:val="14"/>
              </w:rPr>
              <w:t>EBIT prima di operazioni straordinarie</w:t>
            </w:r>
            <w:r>
              <w:rPr>
                <w:rFonts w:ascii="Calibri" w:hAnsi="Calibri"/>
                <w:sz w:val="14"/>
                <w:vertAlign w:val="superscript"/>
              </w:rPr>
              <w:t>1</w:t>
            </w:r>
          </w:p>
        </w:tc>
        <w:tc>
          <w:tcPr>
            <w:tcW w:w="170" w:type="dxa"/>
            <w:tcBorders>
              <w:top w:val="nil"/>
              <w:left w:val="nil"/>
              <w:bottom w:val="nil"/>
              <w:right w:val="nil"/>
            </w:tcBorders>
            <w:noWrap/>
            <w:vAlign w:val="bottom"/>
            <w:hideMark/>
          </w:tcPr>
          <w:p w14:paraId="2B8E3F64"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850" w:type="dxa"/>
            <w:tcBorders>
              <w:top w:val="nil"/>
              <w:left w:val="nil"/>
              <w:bottom w:val="single" w:sz="8" w:space="0" w:color="707070"/>
              <w:right w:val="nil"/>
            </w:tcBorders>
            <w:noWrap/>
            <w:vAlign w:val="center"/>
            <w:hideMark/>
          </w:tcPr>
          <w:p w14:paraId="0B22B5B9" w14:textId="3658028B" w:rsidR="00EE6765" w:rsidRPr="00715A0E" w:rsidRDefault="00CD7709" w:rsidP="00C431A7">
            <w:pPr>
              <w:spacing w:line="240" w:lineRule="auto"/>
              <w:jc w:val="right"/>
              <w:rPr>
                <w:rFonts w:ascii="Calibri" w:eastAsia="Times New Roman" w:hAnsi="Calibri" w:cs="Calibri"/>
                <w:color w:val="00B050"/>
                <w:sz w:val="14"/>
                <w:szCs w:val="14"/>
              </w:rPr>
            </w:pPr>
            <w:r>
              <w:rPr>
                <w:rFonts w:ascii="Calibri" w:hAnsi="Calibri"/>
                <w:color w:val="00B050"/>
                <w:sz w:val="14"/>
              </w:rPr>
              <w:t xml:space="preserve">549 </w:t>
            </w:r>
          </w:p>
        </w:tc>
        <w:tc>
          <w:tcPr>
            <w:tcW w:w="215" w:type="dxa"/>
            <w:tcBorders>
              <w:top w:val="nil"/>
              <w:left w:val="nil"/>
              <w:bottom w:val="nil"/>
              <w:right w:val="nil"/>
            </w:tcBorders>
            <w:noWrap/>
            <w:vAlign w:val="bottom"/>
            <w:hideMark/>
          </w:tcPr>
          <w:p w14:paraId="4DA23E3E"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850" w:type="dxa"/>
            <w:tcBorders>
              <w:top w:val="single" w:sz="8" w:space="0" w:color="707070"/>
              <w:left w:val="nil"/>
              <w:bottom w:val="single" w:sz="8" w:space="0" w:color="707070"/>
              <w:right w:val="nil"/>
            </w:tcBorders>
          </w:tcPr>
          <w:p w14:paraId="643AA7AA" w14:textId="1A1629F0" w:rsidR="00EE6765" w:rsidRPr="00715A0E" w:rsidRDefault="00CD7709" w:rsidP="00C431A7">
            <w:pPr>
              <w:spacing w:line="240" w:lineRule="auto"/>
              <w:jc w:val="right"/>
              <w:rPr>
                <w:rFonts w:ascii="Calibri" w:eastAsia="Times New Roman" w:hAnsi="Calibri" w:cs="Calibri"/>
                <w:sz w:val="14"/>
                <w:szCs w:val="14"/>
              </w:rPr>
            </w:pPr>
            <w:r>
              <w:rPr>
                <w:rFonts w:ascii="Calibri" w:hAnsi="Calibri"/>
                <w:sz w:val="14"/>
              </w:rPr>
              <w:t>482</w:t>
            </w:r>
          </w:p>
        </w:tc>
        <w:tc>
          <w:tcPr>
            <w:tcW w:w="215" w:type="dxa"/>
            <w:tcBorders>
              <w:top w:val="nil"/>
              <w:left w:val="nil"/>
              <w:bottom w:val="nil"/>
              <w:right w:val="nil"/>
            </w:tcBorders>
            <w:noWrap/>
            <w:vAlign w:val="bottom"/>
            <w:hideMark/>
          </w:tcPr>
          <w:p w14:paraId="393F081D"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1" w:type="dxa"/>
            <w:tcBorders>
              <w:top w:val="nil"/>
              <w:left w:val="nil"/>
              <w:bottom w:val="single" w:sz="8" w:space="0" w:color="707070"/>
              <w:right w:val="nil"/>
            </w:tcBorders>
            <w:noWrap/>
            <w:vAlign w:val="center"/>
            <w:hideMark/>
          </w:tcPr>
          <w:p w14:paraId="422714D4" w14:textId="035E8E2F" w:rsidR="00EE6765" w:rsidRPr="00715A0E" w:rsidRDefault="00CD7709" w:rsidP="00C431A7">
            <w:pPr>
              <w:spacing w:line="240" w:lineRule="auto"/>
              <w:jc w:val="right"/>
              <w:rPr>
                <w:rFonts w:ascii="Calibri" w:eastAsia="Times New Roman" w:hAnsi="Calibri" w:cs="Calibri"/>
                <w:sz w:val="14"/>
                <w:szCs w:val="14"/>
              </w:rPr>
            </w:pPr>
            <w:r>
              <w:rPr>
                <w:rFonts w:ascii="Calibri" w:hAnsi="Calibri"/>
                <w:sz w:val="14"/>
              </w:rPr>
              <w:t>14,0</w:t>
            </w:r>
          </w:p>
        </w:tc>
        <w:tc>
          <w:tcPr>
            <w:tcW w:w="217" w:type="dxa"/>
            <w:tcBorders>
              <w:top w:val="nil"/>
              <w:left w:val="nil"/>
              <w:right w:val="nil"/>
            </w:tcBorders>
          </w:tcPr>
          <w:p w14:paraId="7056F01D"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nil"/>
              <w:left w:val="nil"/>
              <w:bottom w:val="single" w:sz="8" w:space="0" w:color="707070"/>
              <w:right w:val="nil"/>
            </w:tcBorders>
          </w:tcPr>
          <w:p w14:paraId="52468657" w14:textId="6957D82D" w:rsidR="00EE6765" w:rsidRPr="00715A0E" w:rsidRDefault="00CD7709" w:rsidP="00C431A7">
            <w:pPr>
              <w:spacing w:line="240" w:lineRule="auto"/>
              <w:jc w:val="right"/>
              <w:rPr>
                <w:rFonts w:ascii="Calibri" w:eastAsia="Times New Roman" w:hAnsi="Calibri" w:cs="Calibri"/>
                <w:sz w:val="14"/>
                <w:szCs w:val="14"/>
              </w:rPr>
            </w:pPr>
            <w:r>
              <w:rPr>
                <w:rFonts w:ascii="Calibri" w:hAnsi="Calibri"/>
                <w:color w:val="00B050"/>
                <w:sz w:val="14"/>
              </w:rPr>
              <w:t>264</w:t>
            </w:r>
          </w:p>
        </w:tc>
        <w:tc>
          <w:tcPr>
            <w:tcW w:w="217" w:type="dxa"/>
            <w:tcBorders>
              <w:top w:val="nil"/>
              <w:left w:val="nil"/>
              <w:right w:val="nil"/>
            </w:tcBorders>
          </w:tcPr>
          <w:p w14:paraId="769C908B"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nil"/>
              <w:left w:val="nil"/>
              <w:bottom w:val="single" w:sz="8" w:space="0" w:color="707070"/>
              <w:right w:val="nil"/>
            </w:tcBorders>
          </w:tcPr>
          <w:p w14:paraId="6F6215A3" w14:textId="4F1B7990" w:rsidR="00EE6765" w:rsidRPr="00715A0E" w:rsidRDefault="00CD7709" w:rsidP="00C431A7">
            <w:pPr>
              <w:spacing w:line="240" w:lineRule="auto"/>
              <w:jc w:val="right"/>
              <w:rPr>
                <w:rFonts w:ascii="Calibri" w:eastAsia="Times New Roman" w:hAnsi="Calibri" w:cs="Calibri"/>
                <w:sz w:val="14"/>
                <w:szCs w:val="14"/>
              </w:rPr>
            </w:pPr>
            <w:r>
              <w:rPr>
                <w:rFonts w:ascii="Calibri" w:hAnsi="Calibri"/>
                <w:sz w:val="14"/>
              </w:rPr>
              <w:t>205</w:t>
            </w:r>
          </w:p>
        </w:tc>
        <w:tc>
          <w:tcPr>
            <w:tcW w:w="217" w:type="dxa"/>
            <w:tcBorders>
              <w:top w:val="nil"/>
              <w:left w:val="nil"/>
              <w:right w:val="nil"/>
            </w:tcBorders>
          </w:tcPr>
          <w:p w14:paraId="20E4F2D9"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2" w:type="dxa"/>
            <w:tcBorders>
              <w:top w:val="nil"/>
              <w:left w:val="nil"/>
              <w:bottom w:val="single" w:sz="8" w:space="0" w:color="707070"/>
              <w:right w:val="nil"/>
            </w:tcBorders>
          </w:tcPr>
          <w:p w14:paraId="0A452037" w14:textId="10ED5648" w:rsidR="00EE6765" w:rsidRPr="00715A0E" w:rsidRDefault="00766448" w:rsidP="00C431A7">
            <w:pPr>
              <w:spacing w:line="240" w:lineRule="auto"/>
              <w:jc w:val="right"/>
              <w:rPr>
                <w:rFonts w:ascii="Calibri" w:eastAsia="Times New Roman" w:hAnsi="Calibri" w:cs="Calibri"/>
                <w:sz w:val="14"/>
                <w:szCs w:val="14"/>
              </w:rPr>
            </w:pPr>
            <w:r>
              <w:rPr>
                <w:rFonts w:ascii="Calibri" w:hAnsi="Calibri"/>
                <w:sz w:val="14"/>
              </w:rPr>
              <w:t>28,5</w:t>
            </w:r>
          </w:p>
        </w:tc>
      </w:tr>
      <w:tr w:rsidR="00EE6765" w:rsidRPr="00715A0E" w14:paraId="407FC1E6" w14:textId="77777777" w:rsidTr="00FE1F8D">
        <w:trPr>
          <w:trHeight w:val="300"/>
        </w:trPr>
        <w:tc>
          <w:tcPr>
            <w:tcW w:w="1630" w:type="dxa"/>
            <w:tcBorders>
              <w:top w:val="nil"/>
              <w:left w:val="nil"/>
              <w:bottom w:val="single" w:sz="8" w:space="0" w:color="707070"/>
              <w:right w:val="nil"/>
            </w:tcBorders>
            <w:vAlign w:val="center"/>
            <w:hideMark/>
          </w:tcPr>
          <w:p w14:paraId="04AE3AF7"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2"/>
              </w:rPr>
              <w:t>• in % di fatturato</w:t>
            </w:r>
          </w:p>
        </w:tc>
        <w:tc>
          <w:tcPr>
            <w:tcW w:w="170" w:type="dxa"/>
            <w:tcBorders>
              <w:top w:val="nil"/>
              <w:left w:val="nil"/>
              <w:bottom w:val="nil"/>
              <w:right w:val="nil"/>
            </w:tcBorders>
            <w:noWrap/>
            <w:vAlign w:val="bottom"/>
            <w:hideMark/>
          </w:tcPr>
          <w:p w14:paraId="2B18D978"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850" w:type="dxa"/>
            <w:tcBorders>
              <w:top w:val="nil"/>
              <w:left w:val="nil"/>
              <w:bottom w:val="single" w:sz="8" w:space="0" w:color="707070"/>
              <w:right w:val="nil"/>
            </w:tcBorders>
            <w:noWrap/>
            <w:vAlign w:val="center"/>
            <w:hideMark/>
          </w:tcPr>
          <w:p w14:paraId="735B8BDC" w14:textId="1DAFF4E7" w:rsidR="00EE6765" w:rsidRPr="00715A0E" w:rsidRDefault="00EE6765" w:rsidP="00C431A7">
            <w:pPr>
              <w:spacing w:line="240" w:lineRule="auto"/>
              <w:jc w:val="right"/>
              <w:rPr>
                <w:rFonts w:ascii="Calibri" w:eastAsia="Times New Roman" w:hAnsi="Calibri" w:cs="Calibri"/>
                <w:color w:val="00B050"/>
                <w:sz w:val="12"/>
                <w:szCs w:val="12"/>
              </w:rPr>
            </w:pPr>
            <w:r>
              <w:rPr>
                <w:rFonts w:ascii="Calibri" w:hAnsi="Calibri"/>
                <w:color w:val="00B050"/>
                <w:sz w:val="12"/>
              </w:rPr>
              <w:t>4,7</w:t>
            </w:r>
          </w:p>
        </w:tc>
        <w:tc>
          <w:tcPr>
            <w:tcW w:w="215" w:type="dxa"/>
            <w:tcBorders>
              <w:top w:val="nil"/>
              <w:left w:val="nil"/>
              <w:bottom w:val="nil"/>
              <w:right w:val="nil"/>
            </w:tcBorders>
            <w:noWrap/>
            <w:vAlign w:val="bottom"/>
            <w:hideMark/>
          </w:tcPr>
          <w:p w14:paraId="1A116AC3"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850" w:type="dxa"/>
            <w:tcBorders>
              <w:top w:val="single" w:sz="8" w:space="0" w:color="707070"/>
              <w:left w:val="nil"/>
              <w:bottom w:val="single" w:sz="8" w:space="0" w:color="707070"/>
              <w:right w:val="nil"/>
            </w:tcBorders>
          </w:tcPr>
          <w:p w14:paraId="29398DCA" w14:textId="74B84B1D"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4,1</w:t>
            </w:r>
          </w:p>
        </w:tc>
        <w:tc>
          <w:tcPr>
            <w:tcW w:w="215" w:type="dxa"/>
            <w:tcBorders>
              <w:top w:val="nil"/>
              <w:left w:val="nil"/>
              <w:bottom w:val="nil"/>
              <w:right w:val="nil"/>
            </w:tcBorders>
            <w:noWrap/>
            <w:vAlign w:val="bottom"/>
            <w:hideMark/>
          </w:tcPr>
          <w:p w14:paraId="200134C8"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191" w:type="dxa"/>
            <w:tcBorders>
              <w:top w:val="nil"/>
              <w:left w:val="nil"/>
              <w:bottom w:val="single" w:sz="8" w:space="0" w:color="707070"/>
              <w:right w:val="nil"/>
            </w:tcBorders>
            <w:noWrap/>
            <w:vAlign w:val="center"/>
            <w:hideMark/>
          </w:tcPr>
          <w:p w14:paraId="6952B18C"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c>
          <w:tcPr>
            <w:tcW w:w="217" w:type="dxa"/>
            <w:tcBorders>
              <w:top w:val="nil"/>
              <w:left w:val="nil"/>
              <w:right w:val="nil"/>
            </w:tcBorders>
          </w:tcPr>
          <w:p w14:paraId="24724059"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850" w:type="dxa"/>
            <w:tcBorders>
              <w:top w:val="nil"/>
              <w:left w:val="nil"/>
              <w:bottom w:val="single" w:sz="8" w:space="0" w:color="707070"/>
              <w:right w:val="nil"/>
            </w:tcBorders>
          </w:tcPr>
          <w:p w14:paraId="4E1B4CCE" w14:textId="469F52B4" w:rsidR="00EE6765" w:rsidRPr="00715A0E" w:rsidRDefault="00CD7709" w:rsidP="00C431A7">
            <w:pPr>
              <w:spacing w:line="240" w:lineRule="auto"/>
              <w:jc w:val="right"/>
              <w:rPr>
                <w:rFonts w:ascii="Calibri" w:eastAsia="Times New Roman" w:hAnsi="Calibri" w:cs="Calibri"/>
                <w:sz w:val="12"/>
                <w:szCs w:val="12"/>
              </w:rPr>
            </w:pPr>
            <w:r>
              <w:rPr>
                <w:rFonts w:ascii="Calibri" w:hAnsi="Calibri"/>
                <w:color w:val="00B050"/>
                <w:sz w:val="12"/>
              </w:rPr>
              <w:t>4.5</w:t>
            </w:r>
          </w:p>
        </w:tc>
        <w:tc>
          <w:tcPr>
            <w:tcW w:w="217" w:type="dxa"/>
            <w:tcBorders>
              <w:top w:val="nil"/>
              <w:left w:val="nil"/>
              <w:right w:val="nil"/>
            </w:tcBorders>
          </w:tcPr>
          <w:p w14:paraId="085E56B4"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850" w:type="dxa"/>
            <w:tcBorders>
              <w:top w:val="nil"/>
              <w:left w:val="nil"/>
              <w:bottom w:val="single" w:sz="8" w:space="0" w:color="707070"/>
              <w:right w:val="nil"/>
            </w:tcBorders>
          </w:tcPr>
          <w:p w14:paraId="2630DF08" w14:textId="490E49CD"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3,5</w:t>
            </w:r>
          </w:p>
        </w:tc>
        <w:tc>
          <w:tcPr>
            <w:tcW w:w="217" w:type="dxa"/>
            <w:tcBorders>
              <w:top w:val="nil"/>
              <w:left w:val="nil"/>
              <w:right w:val="nil"/>
            </w:tcBorders>
          </w:tcPr>
          <w:p w14:paraId="3BE8ECC1"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192" w:type="dxa"/>
            <w:tcBorders>
              <w:top w:val="nil"/>
              <w:left w:val="nil"/>
              <w:bottom w:val="single" w:sz="8" w:space="0" w:color="707070"/>
              <w:right w:val="nil"/>
            </w:tcBorders>
          </w:tcPr>
          <w:p w14:paraId="71CF8073"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r>
      <w:tr w:rsidR="00EE6765" w:rsidRPr="00715A0E" w14:paraId="522B1711" w14:textId="77777777" w:rsidTr="00FE1F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630" w:type="dxa"/>
            <w:tcBorders>
              <w:top w:val="single" w:sz="4" w:space="0" w:color="auto"/>
              <w:left w:val="nil"/>
              <w:bottom w:val="single" w:sz="4" w:space="0" w:color="auto"/>
              <w:right w:val="nil"/>
            </w:tcBorders>
            <w:vAlign w:val="center"/>
          </w:tcPr>
          <w:p w14:paraId="003E73CB"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Free cash flow</w:t>
            </w:r>
            <w:r>
              <w:rPr>
                <w:rFonts w:ascii="Calibri" w:hAnsi="Calibri"/>
                <w:sz w:val="14"/>
                <w:vertAlign w:val="superscript"/>
              </w:rPr>
              <w:t>2</w:t>
            </w:r>
            <w:r>
              <w:rPr>
                <w:rFonts w:ascii="Calibri" w:hAnsi="Calibri"/>
                <w:sz w:val="14"/>
              </w:rPr>
              <w:t xml:space="preserve"> </w:t>
            </w:r>
          </w:p>
        </w:tc>
        <w:tc>
          <w:tcPr>
            <w:tcW w:w="170" w:type="dxa"/>
            <w:tcBorders>
              <w:top w:val="nil"/>
              <w:left w:val="nil"/>
              <w:bottom w:val="nil"/>
              <w:right w:val="nil"/>
            </w:tcBorders>
            <w:noWrap/>
            <w:vAlign w:val="center"/>
          </w:tcPr>
          <w:p w14:paraId="76ECE10C"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850" w:type="dxa"/>
            <w:tcBorders>
              <w:top w:val="single" w:sz="4" w:space="0" w:color="auto"/>
              <w:left w:val="nil"/>
              <w:bottom w:val="single" w:sz="4" w:space="0" w:color="auto"/>
              <w:right w:val="nil"/>
            </w:tcBorders>
            <w:noWrap/>
            <w:vAlign w:val="center"/>
          </w:tcPr>
          <w:p w14:paraId="7882934D" w14:textId="7408D997"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-300</w:t>
            </w:r>
          </w:p>
        </w:tc>
        <w:tc>
          <w:tcPr>
            <w:tcW w:w="215" w:type="dxa"/>
            <w:tcBorders>
              <w:top w:val="nil"/>
              <w:left w:val="nil"/>
              <w:bottom w:val="nil"/>
              <w:right w:val="nil"/>
            </w:tcBorders>
            <w:noWrap/>
            <w:vAlign w:val="center"/>
          </w:tcPr>
          <w:p w14:paraId="4459E8A2"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850" w:type="dxa"/>
            <w:tcBorders>
              <w:top w:val="single" w:sz="8" w:space="0" w:color="707070"/>
              <w:left w:val="nil"/>
              <w:bottom w:val="single" w:sz="4" w:space="0" w:color="auto"/>
              <w:right w:val="nil"/>
            </w:tcBorders>
          </w:tcPr>
          <w:p w14:paraId="483E6BD6" w14:textId="5275DD06"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-128</w:t>
            </w:r>
          </w:p>
        </w:tc>
        <w:tc>
          <w:tcPr>
            <w:tcW w:w="215" w:type="dxa"/>
            <w:tcBorders>
              <w:top w:val="nil"/>
              <w:left w:val="nil"/>
              <w:bottom w:val="nil"/>
              <w:right w:val="nil"/>
            </w:tcBorders>
            <w:noWrap/>
            <w:vAlign w:val="center"/>
          </w:tcPr>
          <w:p w14:paraId="1DBBDA8B"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1" w:type="dxa"/>
            <w:tcBorders>
              <w:top w:val="single" w:sz="4" w:space="0" w:color="auto"/>
              <w:left w:val="nil"/>
              <w:bottom w:val="single" w:sz="4" w:space="0" w:color="auto"/>
              <w:right w:val="nil"/>
            </w:tcBorders>
            <w:noWrap/>
            <w:vAlign w:val="center"/>
          </w:tcPr>
          <w:p w14:paraId="4ABBCC41" w14:textId="77777777" w:rsidR="00EE6765" w:rsidRPr="00715A0E" w:rsidRDefault="00EE6765" w:rsidP="00C431A7">
            <w:pPr>
              <w:spacing w:line="240" w:lineRule="auto"/>
              <w:jc w:val="right"/>
              <w:rPr>
                <w:rFonts w:ascii="Calibri" w:eastAsia="Times New Roman" w:hAnsi="Calibri" w:cs="Calibri"/>
                <w:sz w:val="14"/>
                <w:szCs w:val="14"/>
                <w:highlight w:val="yellow"/>
              </w:rPr>
            </w:pPr>
            <w:r>
              <w:rPr>
                <w:rFonts w:ascii="Calibri" w:hAnsi="Calibri"/>
                <w:sz w:val="14"/>
              </w:rPr>
              <w:t xml:space="preserve">-                               </w:t>
            </w:r>
          </w:p>
        </w:tc>
        <w:tc>
          <w:tcPr>
            <w:tcW w:w="217" w:type="dxa"/>
            <w:tcBorders>
              <w:top w:val="nil"/>
              <w:left w:val="nil"/>
              <w:bottom w:val="nil"/>
              <w:right w:val="nil"/>
            </w:tcBorders>
          </w:tcPr>
          <w:p w14:paraId="2197B793"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single" w:sz="4" w:space="0" w:color="auto"/>
              <w:left w:val="nil"/>
              <w:bottom w:val="single" w:sz="4" w:space="0" w:color="auto"/>
              <w:right w:val="nil"/>
            </w:tcBorders>
          </w:tcPr>
          <w:p w14:paraId="546A53B3" w14:textId="1D78A9D3" w:rsidR="00EE6765" w:rsidRPr="00715A0E" w:rsidRDefault="003C347B" w:rsidP="00C431A7">
            <w:pPr>
              <w:spacing w:line="240" w:lineRule="auto"/>
              <w:jc w:val="right"/>
              <w:rPr>
                <w:rFonts w:ascii="Calibri" w:eastAsia="Times New Roman" w:hAnsi="Calibri" w:cs="Calibri"/>
                <w:sz w:val="14"/>
                <w:szCs w:val="14"/>
              </w:rPr>
            </w:pPr>
            <w:r>
              <w:rPr>
                <w:rFonts w:ascii="Calibri" w:hAnsi="Calibri"/>
                <w:color w:val="00B050"/>
                <w:sz w:val="14"/>
              </w:rPr>
              <w:t>-91</w:t>
            </w:r>
          </w:p>
        </w:tc>
        <w:tc>
          <w:tcPr>
            <w:tcW w:w="217" w:type="dxa"/>
            <w:tcBorders>
              <w:top w:val="nil"/>
              <w:left w:val="nil"/>
              <w:bottom w:val="nil"/>
              <w:right w:val="nil"/>
            </w:tcBorders>
          </w:tcPr>
          <w:p w14:paraId="0E19D6F1"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single" w:sz="4" w:space="0" w:color="auto"/>
              <w:left w:val="nil"/>
              <w:bottom w:val="single" w:sz="4" w:space="0" w:color="auto"/>
              <w:right w:val="nil"/>
            </w:tcBorders>
          </w:tcPr>
          <w:p w14:paraId="10579805" w14:textId="5F82AB85" w:rsidR="00EE6765" w:rsidRPr="00715A0E" w:rsidRDefault="003C347B" w:rsidP="00C431A7">
            <w:pPr>
              <w:spacing w:line="240" w:lineRule="auto"/>
              <w:jc w:val="right"/>
              <w:rPr>
                <w:rFonts w:ascii="Calibri" w:eastAsia="Times New Roman" w:hAnsi="Calibri" w:cs="Calibri"/>
                <w:sz w:val="14"/>
                <w:szCs w:val="14"/>
                <w:highlight w:val="yellow"/>
              </w:rPr>
            </w:pPr>
            <w:r>
              <w:rPr>
                <w:rFonts w:ascii="Calibri" w:hAnsi="Calibri"/>
                <w:sz w:val="14"/>
              </w:rPr>
              <w:t>27</w:t>
            </w:r>
          </w:p>
        </w:tc>
        <w:tc>
          <w:tcPr>
            <w:tcW w:w="217" w:type="dxa"/>
            <w:tcBorders>
              <w:top w:val="nil"/>
              <w:left w:val="nil"/>
              <w:bottom w:val="nil"/>
              <w:right w:val="nil"/>
            </w:tcBorders>
          </w:tcPr>
          <w:p w14:paraId="0B6FC1B3"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2" w:type="dxa"/>
            <w:tcBorders>
              <w:top w:val="single" w:sz="4" w:space="0" w:color="auto"/>
              <w:left w:val="nil"/>
              <w:bottom w:val="single" w:sz="4" w:space="0" w:color="auto"/>
              <w:right w:val="nil"/>
            </w:tcBorders>
          </w:tcPr>
          <w:p w14:paraId="5966A740" w14:textId="77777777"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w:t>
            </w:r>
          </w:p>
        </w:tc>
      </w:tr>
      <w:tr w:rsidR="00EE6765" w:rsidRPr="00715A0E" w14:paraId="7CAAA498" w14:textId="77777777" w:rsidTr="00FE1F8D">
        <w:trPr>
          <w:trHeight w:val="300"/>
        </w:trPr>
        <w:tc>
          <w:tcPr>
            <w:tcW w:w="1630" w:type="dxa"/>
            <w:tcBorders>
              <w:top w:val="nil"/>
              <w:left w:val="nil"/>
              <w:bottom w:val="single" w:sz="8" w:space="0" w:color="707070"/>
              <w:right w:val="nil"/>
            </w:tcBorders>
            <w:vAlign w:val="center"/>
            <w:hideMark/>
          </w:tcPr>
          <w:p w14:paraId="5A20D8B1"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 </w:t>
            </w:r>
          </w:p>
        </w:tc>
        <w:tc>
          <w:tcPr>
            <w:tcW w:w="170" w:type="dxa"/>
            <w:tcBorders>
              <w:top w:val="nil"/>
              <w:left w:val="nil"/>
              <w:bottom w:val="nil"/>
              <w:right w:val="nil"/>
            </w:tcBorders>
            <w:noWrap/>
            <w:vAlign w:val="center"/>
            <w:hideMark/>
          </w:tcPr>
          <w:p w14:paraId="3925DF42"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850" w:type="dxa"/>
            <w:tcBorders>
              <w:top w:val="nil"/>
              <w:left w:val="nil"/>
              <w:bottom w:val="single" w:sz="8" w:space="0" w:color="707070"/>
              <w:right w:val="nil"/>
            </w:tcBorders>
            <w:noWrap/>
            <w:vAlign w:val="center"/>
            <w:hideMark/>
          </w:tcPr>
          <w:p w14:paraId="7CF2C276" w14:textId="32FAEA9A"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30/06/2026</w:t>
            </w:r>
          </w:p>
        </w:tc>
        <w:tc>
          <w:tcPr>
            <w:tcW w:w="215" w:type="dxa"/>
            <w:tcBorders>
              <w:top w:val="nil"/>
              <w:left w:val="nil"/>
              <w:bottom w:val="nil"/>
              <w:right w:val="nil"/>
            </w:tcBorders>
            <w:noWrap/>
            <w:vAlign w:val="center"/>
            <w:hideMark/>
          </w:tcPr>
          <w:p w14:paraId="081B20C2"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850" w:type="dxa"/>
            <w:tcBorders>
              <w:top w:val="single" w:sz="4" w:space="0" w:color="auto"/>
              <w:left w:val="nil"/>
              <w:bottom w:val="single" w:sz="8" w:space="0" w:color="707070"/>
              <w:right w:val="nil"/>
            </w:tcBorders>
            <w:vAlign w:val="center"/>
          </w:tcPr>
          <w:p w14:paraId="13C45792" w14:textId="5F06F541"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31/12/2025</w:t>
            </w:r>
          </w:p>
        </w:tc>
        <w:tc>
          <w:tcPr>
            <w:tcW w:w="215" w:type="dxa"/>
            <w:tcBorders>
              <w:top w:val="nil"/>
              <w:left w:val="nil"/>
              <w:right w:val="nil"/>
            </w:tcBorders>
            <w:vAlign w:val="center"/>
          </w:tcPr>
          <w:p w14:paraId="6E602C24"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1" w:type="dxa"/>
            <w:tcBorders>
              <w:top w:val="single" w:sz="4" w:space="0" w:color="auto"/>
              <w:left w:val="nil"/>
              <w:bottom w:val="single" w:sz="8" w:space="0" w:color="707070"/>
              <w:right w:val="nil"/>
            </w:tcBorders>
            <w:vAlign w:val="center"/>
          </w:tcPr>
          <w:p w14:paraId="7A8A5271" w14:textId="01838BC0" w:rsidR="00EE6765" w:rsidRPr="00715A0E" w:rsidRDefault="00EE6765" w:rsidP="00FE1F8D">
            <w:pPr>
              <w:spacing w:line="240" w:lineRule="auto"/>
              <w:jc w:val="right"/>
              <w:rPr>
                <w:rFonts w:ascii="Calibri" w:eastAsia="Times New Roman" w:hAnsi="Calibri" w:cs="Calibri"/>
                <w:sz w:val="14"/>
                <w:szCs w:val="14"/>
              </w:rPr>
            </w:pPr>
            <w:r>
              <w:rPr>
                <w:rFonts w:ascii="Calibri" w:hAnsi="Calibri"/>
                <w:sz w:val="14"/>
              </w:rPr>
              <w:t>Variazione in %</w:t>
            </w:r>
          </w:p>
        </w:tc>
        <w:tc>
          <w:tcPr>
            <w:tcW w:w="217" w:type="dxa"/>
            <w:tcBorders>
              <w:left w:val="nil"/>
              <w:right w:val="nil"/>
            </w:tcBorders>
          </w:tcPr>
          <w:p w14:paraId="2789B283"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single" w:sz="4" w:space="0" w:color="auto"/>
              <w:left w:val="nil"/>
              <w:right w:val="nil"/>
            </w:tcBorders>
          </w:tcPr>
          <w:p w14:paraId="68920FFF"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217" w:type="dxa"/>
            <w:tcBorders>
              <w:left w:val="nil"/>
              <w:right w:val="nil"/>
            </w:tcBorders>
          </w:tcPr>
          <w:p w14:paraId="467CA39F"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top w:val="single" w:sz="4" w:space="0" w:color="auto"/>
              <w:left w:val="nil"/>
              <w:right w:val="nil"/>
            </w:tcBorders>
          </w:tcPr>
          <w:p w14:paraId="369DD983"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217" w:type="dxa"/>
            <w:tcBorders>
              <w:left w:val="nil"/>
              <w:right w:val="nil"/>
            </w:tcBorders>
          </w:tcPr>
          <w:p w14:paraId="60AE4CC1"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2" w:type="dxa"/>
            <w:tcBorders>
              <w:top w:val="single" w:sz="4" w:space="0" w:color="auto"/>
              <w:left w:val="nil"/>
              <w:right w:val="nil"/>
            </w:tcBorders>
          </w:tcPr>
          <w:p w14:paraId="19C383F9" w14:textId="77777777" w:rsidR="00EE6765" w:rsidRPr="00715A0E" w:rsidRDefault="00EE6765" w:rsidP="00C431A7">
            <w:pPr>
              <w:spacing w:line="240" w:lineRule="auto"/>
              <w:jc w:val="right"/>
              <w:rPr>
                <w:rFonts w:ascii="Calibri" w:eastAsia="Times New Roman" w:hAnsi="Calibri" w:cs="Calibri"/>
                <w:sz w:val="14"/>
                <w:szCs w:val="14"/>
                <w:lang w:eastAsia="de-DE"/>
              </w:rPr>
            </w:pPr>
          </w:p>
        </w:tc>
      </w:tr>
      <w:tr w:rsidR="00EE6765" w:rsidRPr="00715A0E" w14:paraId="238583EF" w14:textId="77777777" w:rsidTr="00FE1F8D">
        <w:trPr>
          <w:trHeight w:val="300"/>
        </w:trPr>
        <w:tc>
          <w:tcPr>
            <w:tcW w:w="1630" w:type="dxa"/>
            <w:tcBorders>
              <w:top w:val="nil"/>
              <w:left w:val="nil"/>
              <w:bottom w:val="single" w:sz="4" w:space="0" w:color="auto"/>
              <w:right w:val="nil"/>
            </w:tcBorders>
            <w:vAlign w:val="center"/>
            <w:hideMark/>
          </w:tcPr>
          <w:p w14:paraId="397963D0"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Dipendenti</w:t>
            </w:r>
          </w:p>
        </w:tc>
        <w:tc>
          <w:tcPr>
            <w:tcW w:w="170" w:type="dxa"/>
            <w:tcBorders>
              <w:top w:val="nil"/>
              <w:left w:val="nil"/>
              <w:right w:val="nil"/>
            </w:tcBorders>
            <w:noWrap/>
            <w:vAlign w:val="center"/>
            <w:hideMark/>
          </w:tcPr>
          <w:p w14:paraId="00F70180" w14:textId="77777777" w:rsidR="00EE6765" w:rsidRPr="00715A0E" w:rsidRDefault="00EE6765" w:rsidP="00C431A7">
            <w:pPr>
              <w:spacing w:line="240" w:lineRule="auto"/>
              <w:rPr>
                <w:rFonts w:ascii="Calibri" w:eastAsia="Times New Roman" w:hAnsi="Calibri" w:cs="Calibri"/>
                <w:color w:val="616161"/>
                <w:sz w:val="14"/>
                <w:szCs w:val="14"/>
              </w:rPr>
            </w:pPr>
            <w:r>
              <w:rPr>
                <w:rFonts w:ascii="Calibri" w:hAnsi="Calibri"/>
                <w:color w:val="616161"/>
                <w:sz w:val="14"/>
              </w:rPr>
              <w:t> </w:t>
            </w:r>
          </w:p>
        </w:tc>
        <w:tc>
          <w:tcPr>
            <w:tcW w:w="850" w:type="dxa"/>
            <w:tcBorders>
              <w:top w:val="single" w:sz="8" w:space="0" w:color="707070"/>
              <w:left w:val="nil"/>
              <w:bottom w:val="single" w:sz="4" w:space="0" w:color="auto"/>
              <w:right w:val="nil"/>
            </w:tcBorders>
            <w:noWrap/>
            <w:vAlign w:val="center"/>
            <w:hideMark/>
          </w:tcPr>
          <w:p w14:paraId="1F01444C" w14:textId="575968B5" w:rsidR="00EE6765" w:rsidRPr="00715A0E" w:rsidRDefault="003C347B" w:rsidP="00C431A7">
            <w:pPr>
              <w:spacing w:line="240" w:lineRule="auto"/>
              <w:jc w:val="right"/>
              <w:rPr>
                <w:rFonts w:ascii="Calibri" w:eastAsia="Times New Roman" w:hAnsi="Calibri" w:cs="Calibri"/>
                <w:color w:val="00B050"/>
                <w:sz w:val="14"/>
                <w:szCs w:val="14"/>
              </w:rPr>
            </w:pPr>
            <w:r>
              <w:rPr>
                <w:rFonts w:ascii="Calibri" w:hAnsi="Calibri"/>
                <w:color w:val="00B050"/>
                <w:sz w:val="14"/>
              </w:rPr>
              <w:t>108.912</w:t>
            </w:r>
          </w:p>
        </w:tc>
        <w:tc>
          <w:tcPr>
            <w:tcW w:w="215" w:type="dxa"/>
            <w:tcBorders>
              <w:top w:val="nil"/>
              <w:left w:val="nil"/>
              <w:right w:val="nil"/>
            </w:tcBorders>
            <w:noWrap/>
            <w:vAlign w:val="center"/>
            <w:hideMark/>
          </w:tcPr>
          <w:p w14:paraId="0EA5E551" w14:textId="77777777" w:rsidR="00EE6765" w:rsidRPr="00715A0E" w:rsidRDefault="00EE6765" w:rsidP="00C431A7">
            <w:pPr>
              <w:spacing w:line="240" w:lineRule="auto"/>
              <w:jc w:val="right"/>
              <w:rPr>
                <w:rFonts w:ascii="Calibri" w:eastAsia="Times New Roman" w:hAnsi="Calibri" w:cs="Calibri"/>
                <w:color w:val="008639"/>
                <w:sz w:val="14"/>
                <w:szCs w:val="14"/>
              </w:rPr>
            </w:pPr>
            <w:r>
              <w:rPr>
                <w:rFonts w:ascii="Calibri" w:hAnsi="Calibri"/>
                <w:color w:val="008639"/>
                <w:sz w:val="14"/>
              </w:rPr>
              <w:t> </w:t>
            </w:r>
          </w:p>
        </w:tc>
        <w:tc>
          <w:tcPr>
            <w:tcW w:w="850" w:type="dxa"/>
            <w:tcBorders>
              <w:top w:val="single" w:sz="8" w:space="0" w:color="707070"/>
              <w:left w:val="nil"/>
              <w:bottom w:val="single" w:sz="4" w:space="0" w:color="auto"/>
              <w:right w:val="nil"/>
            </w:tcBorders>
          </w:tcPr>
          <w:p w14:paraId="0D5AFAE8" w14:textId="18F55ABC" w:rsidR="00EE6765" w:rsidRPr="00715A0E" w:rsidRDefault="003C347B" w:rsidP="00C431A7">
            <w:pPr>
              <w:spacing w:line="240" w:lineRule="auto"/>
              <w:jc w:val="right"/>
              <w:rPr>
                <w:rFonts w:ascii="Calibri" w:eastAsia="Times New Roman" w:hAnsi="Calibri" w:cs="Calibri"/>
                <w:sz w:val="14"/>
                <w:szCs w:val="14"/>
              </w:rPr>
            </w:pPr>
            <w:r>
              <w:rPr>
                <w:rFonts w:ascii="Calibri" w:hAnsi="Calibri"/>
                <w:sz w:val="14"/>
              </w:rPr>
              <w:t>110.753</w:t>
            </w:r>
          </w:p>
        </w:tc>
        <w:tc>
          <w:tcPr>
            <w:tcW w:w="215" w:type="dxa"/>
            <w:tcBorders>
              <w:top w:val="nil"/>
              <w:left w:val="nil"/>
              <w:right w:val="nil"/>
            </w:tcBorders>
            <w:noWrap/>
            <w:vAlign w:val="center"/>
            <w:hideMark/>
          </w:tcPr>
          <w:p w14:paraId="76584106" w14:textId="77777777"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 </w:t>
            </w:r>
          </w:p>
        </w:tc>
        <w:tc>
          <w:tcPr>
            <w:tcW w:w="1191" w:type="dxa"/>
            <w:tcBorders>
              <w:top w:val="single" w:sz="8" w:space="0" w:color="707070"/>
              <w:left w:val="nil"/>
              <w:bottom w:val="single" w:sz="4" w:space="0" w:color="auto"/>
              <w:right w:val="nil"/>
            </w:tcBorders>
            <w:noWrap/>
            <w:vAlign w:val="center"/>
            <w:hideMark/>
          </w:tcPr>
          <w:p w14:paraId="32C38837" w14:textId="6EAB8E26"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-1,7</w:t>
            </w:r>
          </w:p>
        </w:tc>
        <w:tc>
          <w:tcPr>
            <w:tcW w:w="217" w:type="dxa"/>
            <w:tcBorders>
              <w:left w:val="nil"/>
              <w:right w:val="nil"/>
            </w:tcBorders>
          </w:tcPr>
          <w:p w14:paraId="124D7FF9"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left w:val="nil"/>
              <w:right w:val="nil"/>
            </w:tcBorders>
          </w:tcPr>
          <w:p w14:paraId="42332CB4"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217" w:type="dxa"/>
            <w:tcBorders>
              <w:left w:val="nil"/>
              <w:right w:val="nil"/>
            </w:tcBorders>
          </w:tcPr>
          <w:p w14:paraId="4046C68A"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850" w:type="dxa"/>
            <w:tcBorders>
              <w:left w:val="nil"/>
              <w:right w:val="nil"/>
            </w:tcBorders>
          </w:tcPr>
          <w:p w14:paraId="763B6B1B"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217" w:type="dxa"/>
            <w:tcBorders>
              <w:left w:val="nil"/>
              <w:right w:val="nil"/>
            </w:tcBorders>
          </w:tcPr>
          <w:p w14:paraId="6088D5E1"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192" w:type="dxa"/>
            <w:tcBorders>
              <w:left w:val="nil"/>
              <w:right w:val="nil"/>
            </w:tcBorders>
          </w:tcPr>
          <w:p w14:paraId="7C82084E" w14:textId="77777777" w:rsidR="00EE6765" w:rsidRPr="00715A0E" w:rsidRDefault="00EE6765" w:rsidP="00C431A7">
            <w:pPr>
              <w:spacing w:line="240" w:lineRule="auto"/>
              <w:jc w:val="right"/>
              <w:rPr>
                <w:rFonts w:ascii="Calibri" w:eastAsia="Times New Roman" w:hAnsi="Calibri" w:cs="Calibri"/>
                <w:sz w:val="14"/>
                <w:szCs w:val="14"/>
                <w:lang w:eastAsia="de-DE"/>
              </w:rPr>
            </w:pPr>
          </w:p>
        </w:tc>
      </w:tr>
      <w:tr w:rsidR="00EE6765" w:rsidRPr="00715A0E" w14:paraId="66A9734A" w14:textId="77777777" w:rsidTr="00C431A7">
        <w:trPr>
          <w:trHeight w:val="300"/>
        </w:trPr>
        <w:tc>
          <w:tcPr>
            <w:tcW w:w="8664" w:type="dxa"/>
            <w:gridSpan w:val="13"/>
            <w:tcBorders>
              <w:top w:val="nil"/>
              <w:left w:val="nil"/>
              <w:right w:val="nil"/>
            </w:tcBorders>
            <w:vAlign w:val="center"/>
          </w:tcPr>
          <w:p w14:paraId="54233B5E" w14:textId="233EBC63" w:rsidR="00EE6765" w:rsidRPr="00715A0E" w:rsidRDefault="00EE6765" w:rsidP="000A11AC">
            <w:pPr>
              <w:spacing w:line="240" w:lineRule="auto"/>
              <w:rPr>
                <w:rFonts w:ascii="Calibri" w:eastAsia="Times New Roman" w:hAnsi="Calibri" w:cs="Calibri"/>
                <w:sz w:val="12"/>
                <w:szCs w:val="12"/>
              </w:rPr>
            </w:pPr>
            <w:r>
              <w:rPr>
                <w:rFonts w:ascii="Calibri" w:hAnsi="Calibri"/>
                <w:sz w:val="12"/>
              </w:rPr>
              <w:t xml:space="preserve">Le informazioni aggiuntive relative al </w:t>
            </w:r>
            <w:proofErr w:type="gramStart"/>
            <w:r>
              <w:rPr>
                <w:rFonts w:ascii="Calibri" w:hAnsi="Calibri"/>
                <w:sz w:val="12"/>
              </w:rPr>
              <w:t>2</w:t>
            </w:r>
            <w:r>
              <w:rPr>
                <w:rFonts w:ascii="Calibri" w:hAnsi="Calibri"/>
                <w:sz w:val="12"/>
                <w:vertAlign w:val="superscript"/>
              </w:rPr>
              <w:t>o</w:t>
            </w:r>
            <w:proofErr w:type="gramEnd"/>
            <w:r>
              <w:rPr>
                <w:rFonts w:ascii="Calibri" w:hAnsi="Calibri"/>
                <w:sz w:val="12"/>
              </w:rPr>
              <w:t xml:space="preserve"> trimestre non hanno fatto parte della revisione contabile. </w:t>
            </w:r>
            <w:r>
              <w:rPr>
                <w:rFonts w:ascii="Calibri" w:hAnsi="Calibri"/>
                <w:sz w:val="14"/>
              </w:rPr>
              <w:br/>
            </w:r>
            <w:r>
              <w:rPr>
                <w:rFonts w:ascii="Calibri" w:hAnsi="Calibri"/>
                <w:sz w:val="14"/>
                <w:vertAlign w:val="superscript"/>
              </w:rPr>
              <w:t>1)</w:t>
            </w:r>
            <w:r>
              <w:rPr>
                <w:rFonts w:ascii="Calibri" w:hAnsi="Calibri"/>
                <w:sz w:val="14"/>
              </w:rPr>
              <w:t xml:space="preserve"> </w:t>
            </w:r>
            <w:r>
              <w:rPr>
                <w:rFonts w:ascii="Calibri" w:hAnsi="Calibri"/>
                <w:sz w:val="12"/>
              </w:rPr>
              <w:t xml:space="preserve">Per la definizione delle operazioni straordinarie si prega di consultare la relazione finanziaria intermedia del primo semestre 2026, pagg. 15 e sgg. </w:t>
            </w:r>
            <w:r>
              <w:rPr>
                <w:rFonts w:ascii="Calibri" w:hAnsi="Calibri"/>
                <w:sz w:val="14"/>
              </w:rPr>
              <w:br/>
            </w:r>
            <w:r>
              <w:rPr>
                <w:rFonts w:ascii="Calibri" w:hAnsi="Calibri"/>
                <w:sz w:val="14"/>
                <w:vertAlign w:val="superscript"/>
              </w:rPr>
              <w:t>2)</w:t>
            </w:r>
            <w:r>
              <w:rPr>
                <w:rFonts w:ascii="Calibri" w:hAnsi="Calibri"/>
                <w:sz w:val="14"/>
              </w:rPr>
              <w:t xml:space="preserve"> </w:t>
            </w:r>
            <w:r>
              <w:rPr>
                <w:rFonts w:ascii="Calibri" w:hAnsi="Calibri"/>
                <w:sz w:val="12"/>
              </w:rPr>
              <w:t>Prima dei flussi di cassa in entrata e in uscita per attività M&amp;A.</w:t>
            </w:r>
          </w:p>
        </w:tc>
      </w:tr>
    </w:tbl>
    <w:p w14:paraId="2ED789E0" w14:textId="77777777" w:rsidR="00EE6765" w:rsidRPr="00715A0E" w:rsidRDefault="00EE6765" w:rsidP="00B13126"/>
    <w:p w14:paraId="0F23EBEC" w14:textId="06274622" w:rsidR="0083206E" w:rsidRPr="0072428C" w:rsidRDefault="00B8469E" w:rsidP="0083206E">
      <w:r>
        <w:rPr>
          <w:rStyle w:val="Enfasigrassetto"/>
        </w:rPr>
        <w:t>E-</w:t>
      </w:r>
      <w:proofErr w:type="spellStart"/>
      <w:r>
        <w:rPr>
          <w:rStyle w:val="Enfasigrassetto"/>
        </w:rPr>
        <w:t>Mobility</w:t>
      </w:r>
      <w:proofErr w:type="spellEnd"/>
      <w:r>
        <w:rPr>
          <w:rStyle w:val="Enfasigrassetto"/>
        </w:rPr>
        <w:t xml:space="preserve"> – Performance operativa migliorata</w:t>
      </w:r>
      <w:r>
        <w:rPr>
          <w:rStyle w:val="Enfasigrassetto"/>
        </w:rPr>
        <w:br/>
      </w:r>
      <w:r>
        <w:t xml:space="preserve">Nel periodo in esame, il fatturato della </w:t>
      </w:r>
      <w:r w:rsidR="000F2C16">
        <w:t>D</w:t>
      </w:r>
      <w:r>
        <w:t>ivisione E-</w:t>
      </w:r>
      <w:proofErr w:type="spellStart"/>
      <w:r>
        <w:t>Mobility</w:t>
      </w:r>
      <w:proofErr w:type="spellEnd"/>
      <w:r>
        <w:t xml:space="preserve"> è aumentato del 7,7 percento al netto degli effetti di cambio, raggiungendo 2.578 milioni di euro (anno precedente: 2.405 milioni di euro). Questa performance è stata sostenuta principalmente dall’avvio e dalla crescita dei volumi di produzione (product </w:t>
      </w:r>
      <w:proofErr w:type="spellStart"/>
      <w:r>
        <w:t>ramp</w:t>
      </w:r>
      <w:proofErr w:type="spellEnd"/>
      <w:r>
        <w:t xml:space="preserve">‑ups) nelle </w:t>
      </w:r>
      <w:r w:rsidR="000F2C16">
        <w:t>R</w:t>
      </w:r>
      <w:r>
        <w:t xml:space="preserve">egioni </w:t>
      </w:r>
      <w:r w:rsidR="000F2C16">
        <w:t>Asia/Pacific</w:t>
      </w:r>
      <w:r>
        <w:t xml:space="preserve"> </w:t>
      </w:r>
      <w:proofErr w:type="gramStart"/>
      <w:r w:rsidR="000F2C16">
        <w:t>e</w:t>
      </w:r>
      <w:proofErr w:type="gramEnd"/>
      <w:r w:rsidR="000F2C16">
        <w:t xml:space="preserve"> Europe</w:t>
      </w:r>
      <w:r>
        <w:t xml:space="preserve">. </w:t>
      </w:r>
    </w:p>
    <w:p w14:paraId="701E7DFF" w14:textId="2BBA2BBE" w:rsidR="0083206E" w:rsidRPr="0072428C" w:rsidRDefault="00FC09E1" w:rsidP="0083206E">
      <w:r>
        <w:t xml:space="preserve">L’EBIT prima delle operazioni straordinarie per i primi sei mesi dell’anno è stato pari a -402 milioni di euro (anno precedente: -463 milioni di euro), il che rappresenta un miglioramento del margine EBIT prima delle operazioni </w:t>
      </w:r>
      <w:r>
        <w:lastRenderedPageBreak/>
        <w:t xml:space="preserve">straordinarie di -15,6 percento (anno precedente: -19,3 percento). Questo miglioramento rispetto al periodo dell’anno precedente è stato sostenuto principalmente dagli effetti dei volumi di vendita e da una migliore performance operativa degli stabilimenti produttivi. </w:t>
      </w:r>
    </w:p>
    <w:p w14:paraId="419F862D" w14:textId="6E59E67B" w:rsidR="00E31840" w:rsidRPr="00715A0E" w:rsidRDefault="00E31840" w:rsidP="0083206E">
      <w:proofErr w:type="spellStart"/>
      <w:r>
        <w:rPr>
          <w:rStyle w:val="Enfasigrassetto"/>
        </w:rPr>
        <w:t>Powertrain</w:t>
      </w:r>
      <w:proofErr w:type="spellEnd"/>
      <w:r>
        <w:rPr>
          <w:rStyle w:val="Enfasigrassetto"/>
        </w:rPr>
        <w:t xml:space="preserve"> &amp; Chassis – Utili solidi</w:t>
      </w:r>
      <w:r>
        <w:rPr>
          <w:rStyle w:val="Enfasigrassetto"/>
        </w:rPr>
        <w:br/>
      </w:r>
      <w:r>
        <w:t xml:space="preserve">Il fatturato della </w:t>
      </w:r>
      <w:r w:rsidR="00FA4443">
        <w:t>D</w:t>
      </w:r>
      <w:r>
        <w:t xml:space="preserve">ivisione </w:t>
      </w:r>
      <w:proofErr w:type="spellStart"/>
      <w:r>
        <w:t>Powertrain</w:t>
      </w:r>
      <w:proofErr w:type="spellEnd"/>
      <w:r>
        <w:t xml:space="preserve"> &amp; Chassis per il periodo in esame è diminuito del 3,4 percento al netto degli effetti di cambio, attestandosi a 4.247 milioni di euro (anno precedente: 4.501 milioni di euro), dovuto principalmente all’impatto della razionalizzazione strategica del portafoglio. A </w:t>
      </w:r>
      <w:proofErr w:type="gramStart"/>
      <w:r>
        <w:t>questo trend</w:t>
      </w:r>
      <w:proofErr w:type="gramEnd"/>
      <w:r>
        <w:t xml:space="preserve"> ha contribuito anche il contesto di mercato tuttora debole per la tecnologia del motore a combustione interna, particolarmente nelle </w:t>
      </w:r>
      <w:r w:rsidR="00FA4443">
        <w:t>R</w:t>
      </w:r>
      <w:r>
        <w:t xml:space="preserve">egioni </w:t>
      </w:r>
      <w:r w:rsidR="00FA4443">
        <w:t xml:space="preserve">Greater China </w:t>
      </w:r>
      <w:proofErr w:type="gramStart"/>
      <w:r w:rsidR="00FA4443">
        <w:t>e</w:t>
      </w:r>
      <w:proofErr w:type="gramEnd"/>
      <w:r w:rsidR="00FA4443">
        <w:t xml:space="preserve"> Europe</w:t>
      </w:r>
      <w:r>
        <w:t>.</w:t>
      </w:r>
    </w:p>
    <w:p w14:paraId="234452A9" w14:textId="3B0CBC56" w:rsidR="0083206E" w:rsidRPr="00715A0E" w:rsidRDefault="00E31840" w:rsidP="00EE6765">
      <w:pPr>
        <w:rPr>
          <w:rStyle w:val="Enfasigrassetto"/>
        </w:rPr>
      </w:pPr>
      <w:r>
        <w:t xml:space="preserve">La </w:t>
      </w:r>
      <w:r w:rsidR="00FA4443">
        <w:t>D</w:t>
      </w:r>
      <w:r>
        <w:t>ivisione ha generato 473 milioni di euro in EBIT prima delle operazioni straordinarie nei primi sei mesi dell’anno (anno precedente: 520 milioni di euro). È stato soprattutto l’impatto dei volumi a determinare un margine EBIT dell’11,1 percento prima delle operazioni straordinarie, quindi leggermente inferiore al livello dell’anno precedente (anno precedente: 11,6 percento).</w:t>
      </w:r>
    </w:p>
    <w:p w14:paraId="2B4764D3" w14:textId="4C82A4F7" w:rsidR="001325E7" w:rsidRPr="00715A0E" w:rsidRDefault="001E00DC" w:rsidP="00EE6765">
      <w:proofErr w:type="spellStart"/>
      <w:r>
        <w:rPr>
          <w:rStyle w:val="Enfasigrassetto"/>
        </w:rPr>
        <w:t>Vehicle</w:t>
      </w:r>
      <w:proofErr w:type="spellEnd"/>
      <w:r>
        <w:rPr>
          <w:rStyle w:val="Enfasigrassetto"/>
        </w:rPr>
        <w:t xml:space="preserve"> </w:t>
      </w:r>
      <w:proofErr w:type="spellStart"/>
      <w:r>
        <w:rPr>
          <w:rStyle w:val="Enfasigrassetto"/>
        </w:rPr>
        <w:t>Lifetime</w:t>
      </w:r>
      <w:proofErr w:type="spellEnd"/>
      <w:r>
        <w:rPr>
          <w:rStyle w:val="Enfasigrassetto"/>
        </w:rPr>
        <w:t xml:space="preserve"> Solutions – Contributo agli utili ulteriormente aumentato</w:t>
      </w:r>
      <w:r>
        <w:rPr>
          <w:rStyle w:val="Enfasigrassetto"/>
        </w:rPr>
        <w:br/>
      </w:r>
      <w:r>
        <w:t xml:space="preserve">Il fatturato di 1.601 milioni di euro al netto degli effetti di cambio della </w:t>
      </w:r>
      <w:r w:rsidR="00FA4443">
        <w:t>D</w:t>
      </w:r>
      <w:r>
        <w:t xml:space="preserve">ivisione </w:t>
      </w:r>
      <w:proofErr w:type="spellStart"/>
      <w:r>
        <w:t>Vehicle</w:t>
      </w:r>
      <w:proofErr w:type="spellEnd"/>
      <w:r>
        <w:t xml:space="preserve"> </w:t>
      </w:r>
      <w:proofErr w:type="spellStart"/>
      <w:r>
        <w:t>Lifetime</w:t>
      </w:r>
      <w:proofErr w:type="spellEnd"/>
      <w:r>
        <w:t xml:space="preserve"> Solutions per la prima metà del 2026 risulta pressoché invariato rispetto all’anno precedente (anno precedente: 1.621 milioni di euro). L’impatto favorevole dei prezzi ha compensato l’effetto dei volumi. </w:t>
      </w:r>
    </w:p>
    <w:p w14:paraId="05657AEC" w14:textId="2AFE5647" w:rsidR="00EE6765" w:rsidRPr="00715A0E" w:rsidRDefault="00B3280B" w:rsidP="00EE6765">
      <w:r>
        <w:t xml:space="preserve">L’EBIT prima delle operazioni straordinarie per il periodo in esame è stato pari a 248 milioni di euro (anno precedente: 239 milioni di euro), il che rappresenta un margine EBIT, prima delle operazioni straordinarie, del 15,5 percento (anno precedente: 14,7 percento). Il miglioramento rispetto alla prima metà del 2025 è stato primariamente dovuto all’effetto dei prezzi. </w:t>
      </w:r>
    </w:p>
    <w:p w14:paraId="229CE251" w14:textId="77777777" w:rsidR="00DB1098" w:rsidRDefault="00805EA2" w:rsidP="00EE6765">
      <w:proofErr w:type="spellStart"/>
      <w:r>
        <w:rPr>
          <w:rStyle w:val="Enfasigrassetto"/>
        </w:rPr>
        <w:t>Bearings</w:t>
      </w:r>
      <w:proofErr w:type="spellEnd"/>
      <w:r>
        <w:rPr>
          <w:rStyle w:val="Enfasigrassetto"/>
        </w:rPr>
        <w:t xml:space="preserve"> &amp; Industrial Solutions – Margine EBIT notevolmente migliorato</w:t>
      </w:r>
      <w:r>
        <w:rPr>
          <w:rStyle w:val="Enfasigrassetto"/>
        </w:rPr>
        <w:br/>
      </w:r>
      <w:r>
        <w:t xml:space="preserve">In un contesto di mercato tuttora sfidante, la </w:t>
      </w:r>
      <w:r w:rsidR="00FA4443">
        <w:t>D</w:t>
      </w:r>
      <w:r>
        <w:t xml:space="preserve">ivisione </w:t>
      </w:r>
      <w:proofErr w:type="spellStart"/>
      <w:r>
        <w:t>Bearings</w:t>
      </w:r>
      <w:proofErr w:type="spellEnd"/>
      <w:r>
        <w:t xml:space="preserve"> &amp; Industrial Solutions ha aumentato il fatturato dell’1,0 percento su base annua al netto degli effetti di cambio, raggiungendo </w:t>
      </w:r>
      <w:r w:rsidRPr="000D4EED">
        <w:t>3.181 milioni</w:t>
      </w:r>
      <w:r>
        <w:t xml:space="preserve"> di euro (anno precedente: 3.237 milioni di euro). </w:t>
      </w:r>
    </w:p>
    <w:p w14:paraId="7A67ECC8" w14:textId="72857398" w:rsidR="009371E7" w:rsidRPr="009371E7" w:rsidRDefault="009371E7" w:rsidP="009371E7">
      <w:r w:rsidRPr="009371E7">
        <w:t xml:space="preserve">In un contesto di mercato ancora difficile, la </w:t>
      </w:r>
      <w:r>
        <w:t>D</w:t>
      </w:r>
      <w:r w:rsidRPr="009371E7">
        <w:t xml:space="preserve">ivisione </w:t>
      </w:r>
      <w:proofErr w:type="spellStart"/>
      <w:r w:rsidRPr="009371E7">
        <w:t>Bearings</w:t>
      </w:r>
      <w:proofErr w:type="spellEnd"/>
      <w:r w:rsidRPr="009371E7">
        <w:t xml:space="preserve"> &amp; Industrial Solutions ha registrato una crescita del fatturato dell'1,0% rispetto all'anno precedente al netto degli effetti di cambio, attestandosi a 3.181 milioni di euro (anno precedente: 3.237 milioni di euro).</w:t>
      </w:r>
    </w:p>
    <w:p w14:paraId="30AA1619" w14:textId="455CC30A" w:rsidR="00805EA2" w:rsidRPr="00715A0E" w:rsidRDefault="00805EA2" w:rsidP="00EE6765">
      <w:r>
        <w:t xml:space="preserve">Le </w:t>
      </w:r>
      <w:r w:rsidR="00FA4443">
        <w:t>D</w:t>
      </w:r>
      <w:r>
        <w:t xml:space="preserve">ivisioni aziendali </w:t>
      </w:r>
      <w:proofErr w:type="spellStart"/>
      <w:r>
        <w:t>Aerospace</w:t>
      </w:r>
      <w:proofErr w:type="spellEnd"/>
      <w:r>
        <w:t xml:space="preserve"> e Industrial </w:t>
      </w:r>
      <w:proofErr w:type="spellStart"/>
      <w:r>
        <w:t>Bearings</w:t>
      </w:r>
      <w:proofErr w:type="spellEnd"/>
      <w:r>
        <w:t xml:space="preserve"> sono state tra quelle che hanno fornito una spinta favorevole alla crescita. </w:t>
      </w:r>
    </w:p>
    <w:p w14:paraId="21296A7B" w14:textId="30D422DF" w:rsidR="00EE6765" w:rsidRPr="00715A0E" w:rsidRDefault="00805EA2" w:rsidP="00EE6765">
      <w:r>
        <w:t xml:space="preserve">L’EBIT prima delle operazioni straordinarie per il periodo in esame è stato pari a 286 milioni di euro (anno precedente: 251 milioni di euro). L’aumento è </w:t>
      </w:r>
      <w:r>
        <w:lastRenderedPageBreak/>
        <w:t xml:space="preserve">principalmente attribuibile a una migliore performance operativa, specialmente degli stabilimenti produttivi. Il margine EBIT prima delle operazioni straordinarie è stato pari al 9,0 percento (anno precedente: 7,8 percento). </w:t>
      </w:r>
    </w:p>
    <w:p w14:paraId="78B5B361" w14:textId="77777777" w:rsidR="00EE6765" w:rsidRDefault="00EE6765" w:rsidP="00B13126"/>
    <w:p w14:paraId="766E250C" w14:textId="77777777" w:rsidR="00FA4443" w:rsidRDefault="00FA4443" w:rsidP="00B13126"/>
    <w:p w14:paraId="07749312" w14:textId="77777777" w:rsidR="00FA4443" w:rsidRPr="00715A0E" w:rsidRDefault="00FA4443" w:rsidP="00B13126"/>
    <w:tbl>
      <w:tblPr>
        <w:tblW w:w="8179" w:type="dxa"/>
        <w:tblCellMar>
          <w:left w:w="70" w:type="dxa"/>
          <w:right w:w="70" w:type="dxa"/>
        </w:tblCellMar>
        <w:tblLook w:val="04A0" w:firstRow="1" w:lastRow="0" w:firstColumn="1" w:lastColumn="0" w:noHBand="0" w:noVBand="1"/>
      </w:tblPr>
      <w:tblGrid>
        <w:gridCol w:w="1984"/>
        <w:gridCol w:w="163"/>
        <w:gridCol w:w="794"/>
        <w:gridCol w:w="162"/>
        <w:gridCol w:w="796"/>
        <w:gridCol w:w="161"/>
        <w:gridCol w:w="1020"/>
        <w:gridCol w:w="163"/>
        <w:gridCol w:w="794"/>
        <w:gridCol w:w="164"/>
        <w:gridCol w:w="794"/>
        <w:gridCol w:w="164"/>
        <w:gridCol w:w="1020"/>
      </w:tblGrid>
      <w:tr w:rsidR="00EE6765" w:rsidRPr="00715A0E" w14:paraId="29D3690C" w14:textId="77777777" w:rsidTr="00C431A7">
        <w:trPr>
          <w:trHeight w:val="300"/>
        </w:trPr>
        <w:tc>
          <w:tcPr>
            <w:tcW w:w="8179" w:type="dxa"/>
            <w:gridSpan w:val="13"/>
            <w:tcBorders>
              <w:left w:val="nil"/>
            </w:tcBorders>
            <w:noWrap/>
          </w:tcPr>
          <w:p w14:paraId="165A8600" w14:textId="509E66B6" w:rsidR="00EE6765" w:rsidRPr="00715A0E" w:rsidRDefault="00EE6765" w:rsidP="00C431A7">
            <w:pPr>
              <w:spacing w:line="240" w:lineRule="auto"/>
              <w:rPr>
                <w:rFonts w:ascii="Calibri" w:eastAsia="Times New Roman" w:hAnsi="Calibri" w:cs="Calibri"/>
              </w:rPr>
            </w:pPr>
            <w:r>
              <w:rPr>
                <w:rFonts w:ascii="Calibri" w:hAnsi="Calibri"/>
              </w:rPr>
              <w:t xml:space="preserve">Principali dati finanziari per </w:t>
            </w:r>
            <w:r w:rsidR="00FA4443">
              <w:rPr>
                <w:rFonts w:ascii="Calibri" w:hAnsi="Calibri"/>
              </w:rPr>
              <w:t>D</w:t>
            </w:r>
            <w:r>
              <w:rPr>
                <w:rFonts w:ascii="Calibri" w:hAnsi="Calibri"/>
              </w:rPr>
              <w:t>ivisione</w:t>
            </w:r>
          </w:p>
        </w:tc>
      </w:tr>
      <w:tr w:rsidR="00EE6765" w:rsidRPr="00715A0E" w14:paraId="1D1D993A" w14:textId="77777777" w:rsidTr="00C431A7">
        <w:trPr>
          <w:trHeight w:val="300"/>
        </w:trPr>
        <w:tc>
          <w:tcPr>
            <w:tcW w:w="1984" w:type="dxa"/>
            <w:tcBorders>
              <w:left w:val="nil"/>
              <w:bottom w:val="single" w:sz="4" w:space="0" w:color="auto"/>
              <w:right w:val="nil"/>
            </w:tcBorders>
            <w:noWrap/>
            <w:vAlign w:val="center"/>
          </w:tcPr>
          <w:p w14:paraId="2E71A9EE"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163" w:type="dxa"/>
            <w:tcBorders>
              <w:left w:val="nil"/>
              <w:bottom w:val="nil"/>
              <w:right w:val="nil"/>
            </w:tcBorders>
            <w:noWrap/>
            <w:vAlign w:val="bottom"/>
          </w:tcPr>
          <w:p w14:paraId="5990EE9E"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794" w:type="dxa"/>
            <w:tcBorders>
              <w:left w:val="nil"/>
              <w:bottom w:val="single" w:sz="4" w:space="0" w:color="auto"/>
              <w:right w:val="nil"/>
            </w:tcBorders>
            <w:noWrap/>
            <w:vAlign w:val="center"/>
          </w:tcPr>
          <w:p w14:paraId="281F1777"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1119" w:type="dxa"/>
            <w:gridSpan w:val="3"/>
            <w:tcBorders>
              <w:left w:val="nil"/>
              <w:bottom w:val="single" w:sz="4" w:space="0" w:color="auto"/>
              <w:right w:val="nil"/>
            </w:tcBorders>
            <w:noWrap/>
            <w:vAlign w:val="bottom"/>
          </w:tcPr>
          <w:p w14:paraId="4BD3F191" w14:textId="77777777" w:rsidR="00EE6765" w:rsidRPr="00715A0E" w:rsidRDefault="00EE6765" w:rsidP="00C431A7">
            <w:pPr>
              <w:spacing w:line="240" w:lineRule="auto"/>
              <w:jc w:val="center"/>
              <w:rPr>
                <w:rFonts w:ascii="Calibri" w:eastAsia="Times New Roman" w:hAnsi="Calibri" w:cs="Calibri"/>
                <w:sz w:val="14"/>
                <w:szCs w:val="14"/>
              </w:rPr>
            </w:pPr>
            <w:r>
              <w:rPr>
                <w:rFonts w:ascii="Calibri" w:hAnsi="Calibri"/>
                <w:sz w:val="14"/>
              </w:rPr>
              <w:t>Primi sei mesi</w:t>
            </w:r>
          </w:p>
        </w:tc>
        <w:tc>
          <w:tcPr>
            <w:tcW w:w="1020" w:type="dxa"/>
            <w:tcBorders>
              <w:left w:val="nil"/>
              <w:bottom w:val="single" w:sz="4" w:space="0" w:color="auto"/>
            </w:tcBorders>
            <w:vAlign w:val="center"/>
          </w:tcPr>
          <w:p w14:paraId="1CE73081"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63" w:type="dxa"/>
            <w:tcBorders>
              <w:left w:val="nil"/>
            </w:tcBorders>
          </w:tcPr>
          <w:p w14:paraId="6C3C7CC2"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left w:val="nil"/>
              <w:bottom w:val="single" w:sz="4" w:space="0" w:color="auto"/>
            </w:tcBorders>
            <w:vAlign w:val="center"/>
          </w:tcPr>
          <w:p w14:paraId="678B0BA5"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164" w:type="dxa"/>
            <w:tcBorders>
              <w:left w:val="nil"/>
              <w:bottom w:val="single" w:sz="4" w:space="0" w:color="auto"/>
            </w:tcBorders>
          </w:tcPr>
          <w:p w14:paraId="5C4AABCE"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left w:val="nil"/>
              <w:bottom w:val="single" w:sz="4" w:space="0" w:color="auto"/>
            </w:tcBorders>
            <w:vAlign w:val="center"/>
          </w:tcPr>
          <w:p w14:paraId="37ADE922" w14:textId="77777777" w:rsidR="00EE6765" w:rsidRPr="00715A0E" w:rsidRDefault="00EE6765" w:rsidP="00C431A7">
            <w:pPr>
              <w:spacing w:line="240" w:lineRule="auto"/>
              <w:jc w:val="right"/>
              <w:rPr>
                <w:rFonts w:ascii="Calibri" w:eastAsia="Times New Roman" w:hAnsi="Calibri" w:cs="Calibri"/>
                <w:sz w:val="14"/>
                <w:szCs w:val="14"/>
              </w:rPr>
            </w:pPr>
            <w:proofErr w:type="gramStart"/>
            <w:r>
              <w:rPr>
                <w:rFonts w:ascii="Calibri" w:hAnsi="Calibri"/>
                <w:sz w:val="14"/>
              </w:rPr>
              <w:t>2</w:t>
            </w:r>
            <w:r>
              <w:rPr>
                <w:rFonts w:ascii="Calibri" w:hAnsi="Calibri"/>
                <w:sz w:val="14"/>
                <w:vertAlign w:val="superscript"/>
              </w:rPr>
              <w:t>°</w:t>
            </w:r>
            <w:proofErr w:type="gramEnd"/>
            <w:r>
              <w:rPr>
                <w:rFonts w:ascii="Calibri" w:hAnsi="Calibri"/>
                <w:sz w:val="14"/>
              </w:rPr>
              <w:t xml:space="preserve"> trimestre</w:t>
            </w:r>
          </w:p>
        </w:tc>
        <w:tc>
          <w:tcPr>
            <w:tcW w:w="164" w:type="dxa"/>
            <w:tcBorders>
              <w:left w:val="nil"/>
              <w:bottom w:val="single" w:sz="4" w:space="0" w:color="auto"/>
            </w:tcBorders>
          </w:tcPr>
          <w:p w14:paraId="25D59B63"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left w:val="nil"/>
              <w:bottom w:val="single" w:sz="4" w:space="0" w:color="auto"/>
            </w:tcBorders>
            <w:vAlign w:val="center"/>
          </w:tcPr>
          <w:p w14:paraId="0EB6FD3C" w14:textId="77777777" w:rsidR="00EE6765" w:rsidRPr="00715A0E" w:rsidRDefault="00EE6765" w:rsidP="00C431A7">
            <w:pPr>
              <w:spacing w:line="240" w:lineRule="auto"/>
              <w:jc w:val="right"/>
              <w:rPr>
                <w:rFonts w:ascii="Calibri" w:eastAsia="Times New Roman" w:hAnsi="Calibri" w:cs="Calibri"/>
                <w:sz w:val="14"/>
                <w:szCs w:val="14"/>
                <w:lang w:eastAsia="de-DE"/>
              </w:rPr>
            </w:pPr>
          </w:p>
        </w:tc>
      </w:tr>
      <w:tr w:rsidR="00EE6765" w:rsidRPr="00715A0E" w14:paraId="69574023" w14:textId="77777777" w:rsidTr="00C431A7">
        <w:trPr>
          <w:trHeight w:val="300"/>
        </w:trPr>
        <w:tc>
          <w:tcPr>
            <w:tcW w:w="1984" w:type="dxa"/>
            <w:tcBorders>
              <w:left w:val="nil"/>
              <w:bottom w:val="single" w:sz="4" w:space="0" w:color="auto"/>
              <w:right w:val="nil"/>
            </w:tcBorders>
            <w:noWrap/>
            <w:vAlign w:val="center"/>
            <w:hideMark/>
          </w:tcPr>
          <w:p w14:paraId="138C02EA"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in milioni di €</w:t>
            </w:r>
          </w:p>
        </w:tc>
        <w:tc>
          <w:tcPr>
            <w:tcW w:w="163" w:type="dxa"/>
            <w:tcBorders>
              <w:left w:val="nil"/>
              <w:bottom w:val="nil"/>
              <w:right w:val="nil"/>
            </w:tcBorders>
            <w:noWrap/>
            <w:vAlign w:val="bottom"/>
            <w:hideMark/>
          </w:tcPr>
          <w:p w14:paraId="7D58915D"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794" w:type="dxa"/>
            <w:tcBorders>
              <w:left w:val="nil"/>
              <w:bottom w:val="single" w:sz="4" w:space="0" w:color="auto"/>
              <w:right w:val="nil"/>
            </w:tcBorders>
            <w:noWrap/>
            <w:vAlign w:val="center"/>
            <w:hideMark/>
          </w:tcPr>
          <w:p w14:paraId="49CD8C21" w14:textId="01B4BD6D"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2026</w:t>
            </w:r>
          </w:p>
        </w:tc>
        <w:tc>
          <w:tcPr>
            <w:tcW w:w="162" w:type="dxa"/>
            <w:tcBorders>
              <w:top w:val="single" w:sz="4" w:space="0" w:color="auto"/>
              <w:left w:val="nil"/>
              <w:bottom w:val="nil"/>
              <w:right w:val="nil"/>
            </w:tcBorders>
            <w:noWrap/>
            <w:vAlign w:val="bottom"/>
            <w:hideMark/>
          </w:tcPr>
          <w:p w14:paraId="6D85A4D4"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796" w:type="dxa"/>
            <w:tcBorders>
              <w:top w:val="single" w:sz="4" w:space="0" w:color="auto"/>
              <w:left w:val="nil"/>
              <w:bottom w:val="single" w:sz="4" w:space="0" w:color="auto"/>
              <w:right w:val="nil"/>
            </w:tcBorders>
            <w:noWrap/>
            <w:vAlign w:val="center"/>
            <w:hideMark/>
          </w:tcPr>
          <w:p w14:paraId="3B1146DC" w14:textId="0BA2E8C1"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2025</w:t>
            </w:r>
          </w:p>
        </w:tc>
        <w:tc>
          <w:tcPr>
            <w:tcW w:w="161" w:type="dxa"/>
            <w:tcBorders>
              <w:top w:val="single" w:sz="4" w:space="0" w:color="auto"/>
              <w:left w:val="nil"/>
              <w:right w:val="nil"/>
            </w:tcBorders>
          </w:tcPr>
          <w:p w14:paraId="20D84ADA" w14:textId="77777777" w:rsidR="00EE6765" w:rsidRPr="00715A0E" w:rsidRDefault="00EE6765" w:rsidP="00C431A7">
            <w:pPr>
              <w:spacing w:line="240" w:lineRule="auto"/>
              <w:jc w:val="center"/>
              <w:rPr>
                <w:rFonts w:ascii="Calibri" w:eastAsia="Times New Roman" w:hAnsi="Calibri" w:cs="Calibri"/>
                <w:sz w:val="14"/>
                <w:szCs w:val="14"/>
                <w:lang w:eastAsia="de-DE"/>
              </w:rPr>
            </w:pPr>
          </w:p>
        </w:tc>
        <w:tc>
          <w:tcPr>
            <w:tcW w:w="1020" w:type="dxa"/>
            <w:tcBorders>
              <w:left w:val="nil"/>
              <w:bottom w:val="single" w:sz="4" w:space="0" w:color="auto"/>
            </w:tcBorders>
            <w:vAlign w:val="center"/>
          </w:tcPr>
          <w:p w14:paraId="24BC5A60" w14:textId="3EC6844D"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Variazione</w:t>
            </w:r>
            <w:r>
              <w:rPr>
                <w:rFonts w:ascii="Calibri" w:hAnsi="Calibri"/>
                <w:sz w:val="14"/>
              </w:rPr>
              <w:br/>
              <w:t>in %</w:t>
            </w:r>
          </w:p>
        </w:tc>
        <w:tc>
          <w:tcPr>
            <w:tcW w:w="163" w:type="dxa"/>
            <w:tcBorders>
              <w:left w:val="nil"/>
            </w:tcBorders>
          </w:tcPr>
          <w:p w14:paraId="68E3CBCC"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left w:val="nil"/>
              <w:bottom w:val="single" w:sz="4" w:space="0" w:color="auto"/>
            </w:tcBorders>
            <w:vAlign w:val="center"/>
          </w:tcPr>
          <w:p w14:paraId="060E306C" w14:textId="290926A3" w:rsidR="00EE6765" w:rsidRPr="00715A0E" w:rsidRDefault="00EE6765" w:rsidP="00C431A7">
            <w:pPr>
              <w:spacing w:line="240" w:lineRule="auto"/>
              <w:jc w:val="right"/>
              <w:rPr>
                <w:rFonts w:ascii="Calibri" w:eastAsia="Times New Roman" w:hAnsi="Calibri" w:cs="Calibri"/>
                <w:sz w:val="14"/>
                <w:szCs w:val="14"/>
              </w:rPr>
            </w:pPr>
            <w:r>
              <w:rPr>
                <w:rFonts w:ascii="Calibri" w:hAnsi="Calibri"/>
                <w:color w:val="00B050"/>
                <w:sz w:val="14"/>
              </w:rPr>
              <w:t>2026</w:t>
            </w:r>
          </w:p>
        </w:tc>
        <w:tc>
          <w:tcPr>
            <w:tcW w:w="164" w:type="dxa"/>
            <w:tcBorders>
              <w:left w:val="nil"/>
            </w:tcBorders>
          </w:tcPr>
          <w:p w14:paraId="69645482"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left w:val="nil"/>
              <w:bottom w:val="single" w:sz="4" w:space="0" w:color="auto"/>
            </w:tcBorders>
            <w:vAlign w:val="center"/>
          </w:tcPr>
          <w:p w14:paraId="490ADEAF" w14:textId="533B2D70"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2025</w:t>
            </w:r>
          </w:p>
        </w:tc>
        <w:tc>
          <w:tcPr>
            <w:tcW w:w="164" w:type="dxa"/>
            <w:tcBorders>
              <w:left w:val="nil"/>
            </w:tcBorders>
          </w:tcPr>
          <w:p w14:paraId="410DC926"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left w:val="nil"/>
              <w:bottom w:val="single" w:sz="4" w:space="0" w:color="auto"/>
            </w:tcBorders>
            <w:vAlign w:val="center"/>
          </w:tcPr>
          <w:p w14:paraId="48EA8E05" w14:textId="2FC37C5D"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Variazione</w:t>
            </w:r>
            <w:r>
              <w:rPr>
                <w:rFonts w:ascii="Calibri" w:hAnsi="Calibri"/>
                <w:sz w:val="14"/>
              </w:rPr>
              <w:br/>
              <w:t>in %</w:t>
            </w:r>
          </w:p>
        </w:tc>
      </w:tr>
      <w:tr w:rsidR="00EE6765" w:rsidRPr="00715A0E" w14:paraId="0AB193F1" w14:textId="77777777" w:rsidTr="00C431A7">
        <w:trPr>
          <w:trHeight w:val="300"/>
        </w:trPr>
        <w:tc>
          <w:tcPr>
            <w:tcW w:w="1984" w:type="dxa"/>
            <w:tcBorders>
              <w:top w:val="single" w:sz="4" w:space="0" w:color="auto"/>
              <w:left w:val="nil"/>
              <w:bottom w:val="single" w:sz="8" w:space="0" w:color="707070"/>
              <w:right w:val="nil"/>
            </w:tcBorders>
            <w:noWrap/>
            <w:vAlign w:val="center"/>
            <w:hideMark/>
          </w:tcPr>
          <w:p w14:paraId="53447540" w14:textId="77777777" w:rsidR="00EE6765" w:rsidRPr="00715A0E" w:rsidRDefault="00EE6765" w:rsidP="00C431A7">
            <w:pPr>
              <w:spacing w:line="240" w:lineRule="auto"/>
              <w:rPr>
                <w:rFonts w:ascii="Calibri" w:eastAsia="Times New Roman" w:hAnsi="Calibri" w:cs="Calibri"/>
                <w:b/>
                <w:bCs/>
                <w:sz w:val="14"/>
                <w:szCs w:val="14"/>
              </w:rPr>
            </w:pPr>
            <w:r>
              <w:rPr>
                <w:rFonts w:ascii="Calibri" w:hAnsi="Calibri"/>
                <w:b/>
                <w:sz w:val="14"/>
              </w:rPr>
              <w:t>E-</w:t>
            </w:r>
            <w:proofErr w:type="spellStart"/>
            <w:r>
              <w:rPr>
                <w:rFonts w:ascii="Calibri" w:hAnsi="Calibri"/>
                <w:b/>
                <w:sz w:val="14"/>
              </w:rPr>
              <w:t>Mobility</w:t>
            </w:r>
            <w:proofErr w:type="spellEnd"/>
          </w:p>
        </w:tc>
        <w:tc>
          <w:tcPr>
            <w:tcW w:w="163" w:type="dxa"/>
            <w:tcBorders>
              <w:left w:val="nil"/>
              <w:bottom w:val="nil"/>
              <w:right w:val="nil"/>
            </w:tcBorders>
            <w:noWrap/>
            <w:vAlign w:val="bottom"/>
            <w:hideMark/>
          </w:tcPr>
          <w:p w14:paraId="0452FFBB" w14:textId="77777777" w:rsidR="00EE6765" w:rsidRPr="00715A0E" w:rsidRDefault="00EE6765" w:rsidP="00C431A7">
            <w:pPr>
              <w:spacing w:line="240" w:lineRule="auto"/>
              <w:rPr>
                <w:rFonts w:ascii="Calibri" w:eastAsia="Times New Roman" w:hAnsi="Calibri" w:cs="Calibri"/>
                <w:b/>
                <w:bCs/>
                <w:sz w:val="14"/>
                <w:szCs w:val="14"/>
                <w:lang w:eastAsia="de-DE"/>
              </w:rPr>
            </w:pPr>
          </w:p>
        </w:tc>
        <w:tc>
          <w:tcPr>
            <w:tcW w:w="794" w:type="dxa"/>
            <w:tcBorders>
              <w:top w:val="single" w:sz="4" w:space="0" w:color="auto"/>
              <w:left w:val="nil"/>
              <w:bottom w:val="nil"/>
              <w:right w:val="nil"/>
            </w:tcBorders>
            <w:noWrap/>
            <w:vAlign w:val="bottom"/>
            <w:hideMark/>
          </w:tcPr>
          <w:p w14:paraId="7F29567D"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162" w:type="dxa"/>
            <w:tcBorders>
              <w:left w:val="nil"/>
              <w:bottom w:val="nil"/>
              <w:right w:val="nil"/>
            </w:tcBorders>
            <w:noWrap/>
            <w:vAlign w:val="bottom"/>
            <w:hideMark/>
          </w:tcPr>
          <w:p w14:paraId="6FE7E408"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796" w:type="dxa"/>
            <w:tcBorders>
              <w:top w:val="single" w:sz="4" w:space="0" w:color="auto"/>
              <w:left w:val="nil"/>
              <w:bottom w:val="nil"/>
              <w:right w:val="nil"/>
            </w:tcBorders>
            <w:noWrap/>
            <w:vAlign w:val="bottom"/>
            <w:hideMark/>
          </w:tcPr>
          <w:p w14:paraId="2E23F307"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161" w:type="dxa"/>
            <w:tcBorders>
              <w:top w:val="nil"/>
              <w:left w:val="nil"/>
              <w:bottom w:val="nil"/>
              <w:right w:val="nil"/>
            </w:tcBorders>
          </w:tcPr>
          <w:p w14:paraId="342F3194"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1020" w:type="dxa"/>
            <w:tcBorders>
              <w:top w:val="single" w:sz="4" w:space="0" w:color="auto"/>
              <w:left w:val="nil"/>
              <w:bottom w:val="nil"/>
            </w:tcBorders>
          </w:tcPr>
          <w:p w14:paraId="118DD309"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163" w:type="dxa"/>
            <w:tcBorders>
              <w:left w:val="nil"/>
              <w:bottom w:val="nil"/>
            </w:tcBorders>
          </w:tcPr>
          <w:p w14:paraId="08E5B2B3"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794" w:type="dxa"/>
            <w:tcBorders>
              <w:top w:val="single" w:sz="4" w:space="0" w:color="auto"/>
              <w:left w:val="nil"/>
              <w:bottom w:val="nil"/>
            </w:tcBorders>
          </w:tcPr>
          <w:p w14:paraId="6F0539DE"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164" w:type="dxa"/>
            <w:tcBorders>
              <w:left w:val="nil"/>
              <w:bottom w:val="nil"/>
            </w:tcBorders>
          </w:tcPr>
          <w:p w14:paraId="3689E65F"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794" w:type="dxa"/>
            <w:tcBorders>
              <w:top w:val="single" w:sz="4" w:space="0" w:color="auto"/>
              <w:left w:val="nil"/>
              <w:bottom w:val="nil"/>
            </w:tcBorders>
          </w:tcPr>
          <w:p w14:paraId="63579391"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164" w:type="dxa"/>
            <w:tcBorders>
              <w:left w:val="nil"/>
              <w:bottom w:val="nil"/>
            </w:tcBorders>
          </w:tcPr>
          <w:p w14:paraId="31C4FF56"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c>
          <w:tcPr>
            <w:tcW w:w="1020" w:type="dxa"/>
            <w:tcBorders>
              <w:top w:val="single" w:sz="4" w:space="0" w:color="auto"/>
              <w:left w:val="nil"/>
              <w:bottom w:val="nil"/>
            </w:tcBorders>
          </w:tcPr>
          <w:p w14:paraId="6D846207" w14:textId="77777777" w:rsidR="00EE6765" w:rsidRPr="00715A0E" w:rsidRDefault="00EE6765" w:rsidP="00C431A7">
            <w:pPr>
              <w:spacing w:line="240" w:lineRule="auto"/>
              <w:rPr>
                <w:rFonts w:ascii="Times New Roman" w:eastAsia="Times New Roman" w:hAnsi="Times New Roman" w:cs="Times New Roman"/>
                <w:sz w:val="20"/>
                <w:szCs w:val="20"/>
                <w:lang w:eastAsia="de-DE"/>
              </w:rPr>
            </w:pPr>
          </w:p>
        </w:tc>
      </w:tr>
      <w:tr w:rsidR="00EE6765" w:rsidRPr="00715A0E" w14:paraId="27614430" w14:textId="77777777" w:rsidTr="00C431A7">
        <w:trPr>
          <w:trHeight w:val="300"/>
        </w:trPr>
        <w:tc>
          <w:tcPr>
            <w:tcW w:w="1984" w:type="dxa"/>
            <w:tcBorders>
              <w:top w:val="nil"/>
              <w:left w:val="nil"/>
              <w:bottom w:val="single" w:sz="8" w:space="0" w:color="707070"/>
              <w:right w:val="nil"/>
            </w:tcBorders>
            <w:noWrap/>
            <w:vAlign w:val="center"/>
            <w:hideMark/>
          </w:tcPr>
          <w:p w14:paraId="59853F85"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Fatturato</w:t>
            </w:r>
          </w:p>
        </w:tc>
        <w:tc>
          <w:tcPr>
            <w:tcW w:w="163" w:type="dxa"/>
            <w:tcBorders>
              <w:top w:val="nil"/>
              <w:left w:val="nil"/>
              <w:bottom w:val="nil"/>
              <w:right w:val="nil"/>
            </w:tcBorders>
            <w:noWrap/>
            <w:vAlign w:val="bottom"/>
            <w:hideMark/>
          </w:tcPr>
          <w:p w14:paraId="67E2A948"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794" w:type="dxa"/>
            <w:tcBorders>
              <w:top w:val="nil"/>
              <w:left w:val="nil"/>
              <w:bottom w:val="single" w:sz="8" w:space="0" w:color="707070"/>
              <w:right w:val="nil"/>
            </w:tcBorders>
            <w:noWrap/>
            <w:vAlign w:val="center"/>
            <w:hideMark/>
          </w:tcPr>
          <w:p w14:paraId="7D85126F" w14:textId="237E4556"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2.578</w:t>
            </w:r>
          </w:p>
        </w:tc>
        <w:tc>
          <w:tcPr>
            <w:tcW w:w="162" w:type="dxa"/>
            <w:tcBorders>
              <w:top w:val="nil"/>
              <w:left w:val="nil"/>
              <w:bottom w:val="nil"/>
              <w:right w:val="nil"/>
            </w:tcBorders>
            <w:noWrap/>
            <w:vAlign w:val="bottom"/>
            <w:hideMark/>
          </w:tcPr>
          <w:p w14:paraId="75212003"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796" w:type="dxa"/>
            <w:tcBorders>
              <w:top w:val="nil"/>
              <w:left w:val="nil"/>
              <w:bottom w:val="single" w:sz="8" w:space="0" w:color="707070"/>
              <w:right w:val="nil"/>
            </w:tcBorders>
            <w:noWrap/>
            <w:vAlign w:val="bottom"/>
            <w:hideMark/>
          </w:tcPr>
          <w:p w14:paraId="12D5FE51" w14:textId="605C61F5" w:rsidR="00EE6765" w:rsidRPr="00715A0E" w:rsidRDefault="000F7B27" w:rsidP="00C431A7">
            <w:pPr>
              <w:spacing w:line="240" w:lineRule="auto"/>
              <w:jc w:val="right"/>
              <w:rPr>
                <w:rFonts w:ascii="Calibri" w:eastAsia="Times New Roman" w:hAnsi="Calibri" w:cs="Calibri"/>
                <w:sz w:val="14"/>
                <w:szCs w:val="14"/>
              </w:rPr>
            </w:pPr>
            <w:r>
              <w:rPr>
                <w:rFonts w:ascii="Calibri" w:hAnsi="Calibri"/>
                <w:sz w:val="14"/>
              </w:rPr>
              <w:t>2.405</w:t>
            </w:r>
          </w:p>
        </w:tc>
        <w:tc>
          <w:tcPr>
            <w:tcW w:w="161" w:type="dxa"/>
            <w:tcBorders>
              <w:top w:val="nil"/>
              <w:left w:val="nil"/>
              <w:right w:val="nil"/>
            </w:tcBorders>
          </w:tcPr>
          <w:p w14:paraId="368A1A34"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6B1C203E" w14:textId="47A833AA" w:rsidR="00EE6765" w:rsidRPr="00715A0E" w:rsidRDefault="000F7B27" w:rsidP="00C431A7">
            <w:pPr>
              <w:spacing w:line="240" w:lineRule="auto"/>
              <w:jc w:val="right"/>
              <w:rPr>
                <w:rFonts w:ascii="Calibri" w:eastAsia="Times New Roman" w:hAnsi="Calibri" w:cs="Calibri"/>
                <w:sz w:val="14"/>
                <w:szCs w:val="14"/>
              </w:rPr>
            </w:pPr>
            <w:r>
              <w:rPr>
                <w:rFonts w:ascii="Calibri" w:hAnsi="Calibri"/>
                <w:sz w:val="14"/>
              </w:rPr>
              <w:t>7,2</w:t>
            </w:r>
          </w:p>
        </w:tc>
        <w:tc>
          <w:tcPr>
            <w:tcW w:w="163" w:type="dxa"/>
            <w:tcBorders>
              <w:top w:val="nil"/>
              <w:left w:val="nil"/>
              <w:right w:val="nil"/>
            </w:tcBorders>
          </w:tcPr>
          <w:p w14:paraId="310DE52F"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707070"/>
              <w:right w:val="nil"/>
            </w:tcBorders>
          </w:tcPr>
          <w:p w14:paraId="7D1DFCE2" w14:textId="56D88FE1"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1.368</w:t>
            </w:r>
          </w:p>
        </w:tc>
        <w:tc>
          <w:tcPr>
            <w:tcW w:w="164" w:type="dxa"/>
            <w:tcBorders>
              <w:top w:val="nil"/>
              <w:left w:val="nil"/>
              <w:right w:val="nil"/>
            </w:tcBorders>
          </w:tcPr>
          <w:p w14:paraId="027B6EE1"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794" w:type="dxa"/>
            <w:tcBorders>
              <w:top w:val="nil"/>
              <w:left w:val="nil"/>
              <w:bottom w:val="single" w:sz="8" w:space="0" w:color="707070"/>
              <w:right w:val="nil"/>
            </w:tcBorders>
          </w:tcPr>
          <w:p w14:paraId="54595C1E" w14:textId="18448A08"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1.238</w:t>
            </w:r>
          </w:p>
        </w:tc>
        <w:tc>
          <w:tcPr>
            <w:tcW w:w="164" w:type="dxa"/>
            <w:tcBorders>
              <w:top w:val="nil"/>
              <w:left w:val="nil"/>
              <w:right w:val="nil"/>
            </w:tcBorders>
          </w:tcPr>
          <w:p w14:paraId="032FD574"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5D1C727E" w14:textId="56C5C3E6" w:rsidR="00EE6765" w:rsidRPr="00715A0E" w:rsidRDefault="000F7B27" w:rsidP="00C431A7">
            <w:pPr>
              <w:spacing w:line="240" w:lineRule="auto"/>
              <w:jc w:val="right"/>
              <w:rPr>
                <w:rFonts w:ascii="Calibri" w:eastAsia="Times New Roman" w:hAnsi="Calibri" w:cs="Calibri"/>
                <w:sz w:val="14"/>
                <w:szCs w:val="14"/>
              </w:rPr>
            </w:pPr>
            <w:r>
              <w:rPr>
                <w:rFonts w:ascii="Calibri" w:hAnsi="Calibri"/>
                <w:sz w:val="14"/>
              </w:rPr>
              <w:t>10,5</w:t>
            </w:r>
          </w:p>
        </w:tc>
      </w:tr>
      <w:tr w:rsidR="00EE6765" w:rsidRPr="00715A0E" w14:paraId="5D9DDD38" w14:textId="77777777" w:rsidTr="00C431A7">
        <w:trPr>
          <w:trHeight w:val="300"/>
        </w:trPr>
        <w:tc>
          <w:tcPr>
            <w:tcW w:w="1984" w:type="dxa"/>
            <w:tcBorders>
              <w:top w:val="nil"/>
              <w:left w:val="nil"/>
              <w:bottom w:val="single" w:sz="8" w:space="0" w:color="707070"/>
              <w:right w:val="nil"/>
            </w:tcBorders>
            <w:noWrap/>
            <w:vAlign w:val="center"/>
            <w:hideMark/>
          </w:tcPr>
          <w:p w14:paraId="5981ABF2"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2"/>
              </w:rPr>
              <w:t xml:space="preserve">• a valuta costante </w:t>
            </w:r>
          </w:p>
        </w:tc>
        <w:tc>
          <w:tcPr>
            <w:tcW w:w="163" w:type="dxa"/>
            <w:tcBorders>
              <w:top w:val="nil"/>
              <w:left w:val="nil"/>
              <w:bottom w:val="nil"/>
              <w:right w:val="nil"/>
            </w:tcBorders>
            <w:noWrap/>
            <w:vAlign w:val="bottom"/>
            <w:hideMark/>
          </w:tcPr>
          <w:p w14:paraId="5EAE39D4"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nil"/>
              <w:left w:val="nil"/>
              <w:bottom w:val="single" w:sz="8" w:space="0" w:color="707070"/>
              <w:right w:val="nil"/>
            </w:tcBorders>
            <w:noWrap/>
            <w:vAlign w:val="center"/>
            <w:hideMark/>
          </w:tcPr>
          <w:p w14:paraId="5CED6ED4" w14:textId="77777777" w:rsidR="00EE6765" w:rsidRPr="00715A0E" w:rsidRDefault="00EE6765" w:rsidP="00C431A7">
            <w:pPr>
              <w:spacing w:line="240" w:lineRule="auto"/>
              <w:jc w:val="right"/>
              <w:rPr>
                <w:rFonts w:ascii="Calibri" w:eastAsia="Times New Roman" w:hAnsi="Calibri" w:cs="Calibri"/>
                <w:color w:val="00B050"/>
                <w:sz w:val="12"/>
                <w:szCs w:val="12"/>
              </w:rPr>
            </w:pPr>
            <w:r>
              <w:rPr>
                <w:rFonts w:ascii="Calibri" w:hAnsi="Calibri"/>
                <w:color w:val="00B050"/>
                <w:sz w:val="12"/>
              </w:rPr>
              <w:t> </w:t>
            </w:r>
          </w:p>
        </w:tc>
        <w:tc>
          <w:tcPr>
            <w:tcW w:w="162" w:type="dxa"/>
            <w:tcBorders>
              <w:top w:val="nil"/>
              <w:left w:val="nil"/>
              <w:bottom w:val="nil"/>
              <w:right w:val="nil"/>
            </w:tcBorders>
            <w:noWrap/>
            <w:vAlign w:val="bottom"/>
            <w:hideMark/>
          </w:tcPr>
          <w:p w14:paraId="1BC19BAD"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single" w:sz="8" w:space="0" w:color="707070"/>
              <w:left w:val="nil"/>
              <w:bottom w:val="single" w:sz="8" w:space="0" w:color="707070"/>
              <w:right w:val="nil"/>
            </w:tcBorders>
            <w:noWrap/>
            <w:vAlign w:val="bottom"/>
            <w:hideMark/>
          </w:tcPr>
          <w:p w14:paraId="6D7DFB76"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1" w:type="dxa"/>
            <w:tcBorders>
              <w:top w:val="nil"/>
              <w:left w:val="nil"/>
              <w:right w:val="nil"/>
            </w:tcBorders>
          </w:tcPr>
          <w:p w14:paraId="1524BFE0"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single" w:sz="8" w:space="0" w:color="707070"/>
              <w:left w:val="nil"/>
              <w:bottom w:val="single" w:sz="8" w:space="0" w:color="707070"/>
              <w:right w:val="nil"/>
            </w:tcBorders>
          </w:tcPr>
          <w:p w14:paraId="3DE1BE54" w14:textId="483A7E10" w:rsidR="00EE6765" w:rsidRPr="00715A0E" w:rsidRDefault="000F7B27" w:rsidP="00C431A7">
            <w:pPr>
              <w:spacing w:line="240" w:lineRule="auto"/>
              <w:jc w:val="right"/>
              <w:rPr>
                <w:rFonts w:ascii="Calibri" w:eastAsia="Times New Roman" w:hAnsi="Calibri" w:cs="Calibri"/>
                <w:sz w:val="12"/>
                <w:szCs w:val="12"/>
              </w:rPr>
            </w:pPr>
            <w:r>
              <w:rPr>
                <w:rFonts w:ascii="Calibri" w:hAnsi="Calibri"/>
                <w:sz w:val="12"/>
              </w:rPr>
              <w:t>7,7</w:t>
            </w:r>
          </w:p>
        </w:tc>
        <w:tc>
          <w:tcPr>
            <w:tcW w:w="163" w:type="dxa"/>
            <w:tcBorders>
              <w:top w:val="nil"/>
              <w:left w:val="nil"/>
              <w:right w:val="nil"/>
            </w:tcBorders>
          </w:tcPr>
          <w:p w14:paraId="184F8112"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single" w:sz="8" w:space="0" w:color="707070"/>
              <w:left w:val="nil"/>
              <w:bottom w:val="single" w:sz="8" w:space="0" w:color="707070"/>
              <w:right w:val="nil"/>
            </w:tcBorders>
          </w:tcPr>
          <w:p w14:paraId="3D17603D"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top w:val="nil"/>
              <w:left w:val="nil"/>
              <w:right w:val="nil"/>
            </w:tcBorders>
          </w:tcPr>
          <w:p w14:paraId="44D3CFB0"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single" w:sz="8" w:space="0" w:color="707070"/>
              <w:left w:val="nil"/>
              <w:bottom w:val="single" w:sz="8" w:space="0" w:color="707070"/>
              <w:right w:val="nil"/>
            </w:tcBorders>
          </w:tcPr>
          <w:p w14:paraId="0CD37060"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top w:val="nil"/>
              <w:left w:val="nil"/>
              <w:right w:val="nil"/>
            </w:tcBorders>
          </w:tcPr>
          <w:p w14:paraId="268AD9C2"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single" w:sz="8" w:space="0" w:color="707070"/>
              <w:left w:val="nil"/>
              <w:bottom w:val="single" w:sz="8" w:space="0" w:color="707070"/>
              <w:right w:val="nil"/>
            </w:tcBorders>
          </w:tcPr>
          <w:p w14:paraId="37D0BADF" w14:textId="42295DA1"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9,4</w:t>
            </w:r>
          </w:p>
        </w:tc>
      </w:tr>
      <w:tr w:rsidR="00EE6765" w:rsidRPr="00715A0E" w14:paraId="45ADCACF" w14:textId="77777777" w:rsidTr="00C431A7">
        <w:trPr>
          <w:trHeight w:val="300"/>
        </w:trPr>
        <w:tc>
          <w:tcPr>
            <w:tcW w:w="1984" w:type="dxa"/>
            <w:tcBorders>
              <w:top w:val="nil"/>
              <w:left w:val="nil"/>
              <w:bottom w:val="single" w:sz="8" w:space="0" w:color="707070"/>
              <w:right w:val="nil"/>
            </w:tcBorders>
            <w:noWrap/>
            <w:vAlign w:val="center"/>
            <w:hideMark/>
          </w:tcPr>
          <w:p w14:paraId="0C3C8FE1"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EBIT prima di operazioni straordinarie</w:t>
            </w:r>
            <w:r>
              <w:rPr>
                <w:rFonts w:ascii="Calibri" w:hAnsi="Calibri"/>
                <w:sz w:val="14"/>
                <w:vertAlign w:val="superscript"/>
              </w:rPr>
              <w:t>1</w:t>
            </w:r>
          </w:p>
        </w:tc>
        <w:tc>
          <w:tcPr>
            <w:tcW w:w="163" w:type="dxa"/>
            <w:tcBorders>
              <w:top w:val="nil"/>
              <w:left w:val="nil"/>
              <w:bottom w:val="nil"/>
              <w:right w:val="nil"/>
            </w:tcBorders>
            <w:noWrap/>
            <w:vAlign w:val="bottom"/>
            <w:hideMark/>
          </w:tcPr>
          <w:p w14:paraId="0A6858BF"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794" w:type="dxa"/>
            <w:tcBorders>
              <w:top w:val="nil"/>
              <w:left w:val="nil"/>
              <w:bottom w:val="single" w:sz="8" w:space="0" w:color="707070"/>
              <w:right w:val="nil"/>
            </w:tcBorders>
            <w:noWrap/>
            <w:vAlign w:val="center"/>
            <w:hideMark/>
          </w:tcPr>
          <w:p w14:paraId="60215F17" w14:textId="1F27762B"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-402</w:t>
            </w:r>
          </w:p>
        </w:tc>
        <w:tc>
          <w:tcPr>
            <w:tcW w:w="162" w:type="dxa"/>
            <w:tcBorders>
              <w:top w:val="nil"/>
              <w:left w:val="nil"/>
              <w:bottom w:val="nil"/>
              <w:right w:val="nil"/>
            </w:tcBorders>
            <w:noWrap/>
            <w:vAlign w:val="bottom"/>
            <w:hideMark/>
          </w:tcPr>
          <w:p w14:paraId="7B49EF09"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796" w:type="dxa"/>
            <w:tcBorders>
              <w:top w:val="single" w:sz="8" w:space="0" w:color="707070"/>
              <w:left w:val="nil"/>
              <w:bottom w:val="single" w:sz="8" w:space="0" w:color="707070"/>
              <w:right w:val="nil"/>
            </w:tcBorders>
            <w:noWrap/>
            <w:vAlign w:val="center"/>
            <w:hideMark/>
          </w:tcPr>
          <w:p w14:paraId="5E642BDF" w14:textId="35ED5610"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-463</w:t>
            </w:r>
          </w:p>
        </w:tc>
        <w:tc>
          <w:tcPr>
            <w:tcW w:w="161" w:type="dxa"/>
            <w:tcBorders>
              <w:top w:val="nil"/>
              <w:left w:val="nil"/>
              <w:right w:val="nil"/>
            </w:tcBorders>
          </w:tcPr>
          <w:p w14:paraId="43F3F0BD"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single" w:sz="8" w:space="0" w:color="707070"/>
              <w:left w:val="nil"/>
              <w:bottom w:val="single" w:sz="8" w:space="0" w:color="707070"/>
              <w:right w:val="nil"/>
            </w:tcBorders>
          </w:tcPr>
          <w:p w14:paraId="00675DA1" w14:textId="528215A2" w:rsidR="00EE6765" w:rsidRPr="00715A0E" w:rsidRDefault="000F7B27" w:rsidP="00C431A7">
            <w:pPr>
              <w:spacing w:line="240" w:lineRule="auto"/>
              <w:jc w:val="right"/>
              <w:rPr>
                <w:rFonts w:ascii="Calibri" w:eastAsia="Times New Roman" w:hAnsi="Calibri" w:cs="Calibri"/>
                <w:sz w:val="14"/>
                <w:szCs w:val="14"/>
              </w:rPr>
            </w:pPr>
            <w:r>
              <w:rPr>
                <w:rFonts w:ascii="Calibri" w:hAnsi="Calibri"/>
                <w:sz w:val="14"/>
              </w:rPr>
              <w:t>13,3</w:t>
            </w:r>
          </w:p>
        </w:tc>
        <w:tc>
          <w:tcPr>
            <w:tcW w:w="163" w:type="dxa"/>
            <w:tcBorders>
              <w:top w:val="nil"/>
              <w:left w:val="nil"/>
              <w:right w:val="nil"/>
            </w:tcBorders>
          </w:tcPr>
          <w:p w14:paraId="187F8A3C"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single" w:sz="8" w:space="0" w:color="707070"/>
              <w:left w:val="nil"/>
              <w:bottom w:val="single" w:sz="8" w:space="0" w:color="707070"/>
              <w:right w:val="nil"/>
            </w:tcBorders>
          </w:tcPr>
          <w:p w14:paraId="6FE6E1BC" w14:textId="783B0722"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-187</w:t>
            </w:r>
          </w:p>
        </w:tc>
        <w:tc>
          <w:tcPr>
            <w:tcW w:w="164" w:type="dxa"/>
            <w:tcBorders>
              <w:top w:val="nil"/>
              <w:left w:val="nil"/>
              <w:right w:val="nil"/>
            </w:tcBorders>
          </w:tcPr>
          <w:p w14:paraId="076ECB83"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single" w:sz="8" w:space="0" w:color="707070"/>
              <w:left w:val="nil"/>
              <w:bottom w:val="single" w:sz="8" w:space="0" w:color="707070"/>
              <w:right w:val="nil"/>
            </w:tcBorders>
          </w:tcPr>
          <w:p w14:paraId="408220F4" w14:textId="1DC07177"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-194</w:t>
            </w:r>
          </w:p>
        </w:tc>
        <w:tc>
          <w:tcPr>
            <w:tcW w:w="164" w:type="dxa"/>
            <w:tcBorders>
              <w:top w:val="nil"/>
              <w:left w:val="nil"/>
              <w:right w:val="nil"/>
            </w:tcBorders>
          </w:tcPr>
          <w:p w14:paraId="5B370B9A"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single" w:sz="8" w:space="0" w:color="707070"/>
              <w:left w:val="nil"/>
              <w:bottom w:val="single" w:sz="8" w:space="0" w:color="707070"/>
              <w:right w:val="nil"/>
            </w:tcBorders>
          </w:tcPr>
          <w:p w14:paraId="69C5006A" w14:textId="73A081C0" w:rsidR="00EE6765" w:rsidRPr="00715A0E" w:rsidRDefault="0012224C" w:rsidP="00C431A7">
            <w:pPr>
              <w:spacing w:line="240" w:lineRule="auto"/>
              <w:jc w:val="right"/>
              <w:rPr>
                <w:rFonts w:ascii="Calibri" w:eastAsia="Times New Roman" w:hAnsi="Calibri" w:cs="Calibri"/>
                <w:sz w:val="14"/>
                <w:szCs w:val="14"/>
              </w:rPr>
            </w:pPr>
            <w:r>
              <w:rPr>
                <w:rFonts w:ascii="Calibri" w:hAnsi="Calibri"/>
                <w:sz w:val="14"/>
              </w:rPr>
              <w:t>3,6</w:t>
            </w:r>
          </w:p>
        </w:tc>
      </w:tr>
      <w:tr w:rsidR="00EE6765" w:rsidRPr="00715A0E" w14:paraId="7353B00A" w14:textId="77777777" w:rsidTr="00C431A7">
        <w:trPr>
          <w:trHeight w:val="300"/>
        </w:trPr>
        <w:tc>
          <w:tcPr>
            <w:tcW w:w="1984" w:type="dxa"/>
            <w:tcBorders>
              <w:top w:val="nil"/>
              <w:left w:val="nil"/>
              <w:bottom w:val="single" w:sz="4" w:space="0" w:color="auto"/>
              <w:right w:val="nil"/>
            </w:tcBorders>
            <w:vAlign w:val="center"/>
            <w:hideMark/>
          </w:tcPr>
          <w:p w14:paraId="374A3B0B"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2"/>
              </w:rPr>
              <w:t>• in % di fatturato</w:t>
            </w:r>
          </w:p>
        </w:tc>
        <w:tc>
          <w:tcPr>
            <w:tcW w:w="163" w:type="dxa"/>
            <w:tcBorders>
              <w:top w:val="nil"/>
              <w:left w:val="nil"/>
              <w:bottom w:val="nil"/>
              <w:right w:val="nil"/>
            </w:tcBorders>
            <w:noWrap/>
            <w:vAlign w:val="bottom"/>
            <w:hideMark/>
          </w:tcPr>
          <w:p w14:paraId="35C7F8A7"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nil"/>
              <w:left w:val="nil"/>
              <w:bottom w:val="single" w:sz="4" w:space="0" w:color="auto"/>
              <w:right w:val="nil"/>
            </w:tcBorders>
            <w:noWrap/>
            <w:vAlign w:val="center"/>
            <w:hideMark/>
          </w:tcPr>
          <w:p w14:paraId="539AE879" w14:textId="2FBC6BFB" w:rsidR="00EE6765" w:rsidRPr="00715A0E" w:rsidRDefault="00EE6765" w:rsidP="00C431A7">
            <w:pPr>
              <w:spacing w:line="240" w:lineRule="auto"/>
              <w:jc w:val="right"/>
              <w:rPr>
                <w:rFonts w:ascii="Calibri" w:eastAsia="Times New Roman" w:hAnsi="Calibri" w:cs="Calibri"/>
                <w:color w:val="00B050"/>
                <w:sz w:val="12"/>
                <w:szCs w:val="12"/>
              </w:rPr>
            </w:pPr>
            <w:r>
              <w:rPr>
                <w:rFonts w:ascii="Calibri" w:hAnsi="Calibri"/>
                <w:color w:val="00B050"/>
                <w:sz w:val="12"/>
              </w:rPr>
              <w:t>-15,6</w:t>
            </w:r>
          </w:p>
        </w:tc>
        <w:tc>
          <w:tcPr>
            <w:tcW w:w="162" w:type="dxa"/>
            <w:tcBorders>
              <w:top w:val="nil"/>
              <w:left w:val="nil"/>
              <w:bottom w:val="nil"/>
              <w:right w:val="nil"/>
            </w:tcBorders>
            <w:noWrap/>
            <w:vAlign w:val="bottom"/>
            <w:hideMark/>
          </w:tcPr>
          <w:p w14:paraId="78D54092"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nil"/>
              <w:left w:val="nil"/>
              <w:bottom w:val="single" w:sz="4" w:space="0" w:color="auto"/>
              <w:right w:val="nil"/>
            </w:tcBorders>
            <w:noWrap/>
            <w:vAlign w:val="center"/>
            <w:hideMark/>
          </w:tcPr>
          <w:p w14:paraId="281B2058" w14:textId="1177BF3A"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-19,3</w:t>
            </w:r>
          </w:p>
        </w:tc>
        <w:tc>
          <w:tcPr>
            <w:tcW w:w="161" w:type="dxa"/>
            <w:tcBorders>
              <w:top w:val="nil"/>
              <w:left w:val="nil"/>
              <w:bottom w:val="nil"/>
              <w:right w:val="nil"/>
            </w:tcBorders>
          </w:tcPr>
          <w:p w14:paraId="33B49AD3"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4" w:space="0" w:color="auto"/>
              <w:right w:val="nil"/>
            </w:tcBorders>
            <w:vAlign w:val="center"/>
          </w:tcPr>
          <w:p w14:paraId="32A455BD"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c>
          <w:tcPr>
            <w:tcW w:w="163" w:type="dxa"/>
            <w:tcBorders>
              <w:top w:val="nil"/>
              <w:left w:val="nil"/>
              <w:right w:val="nil"/>
            </w:tcBorders>
          </w:tcPr>
          <w:p w14:paraId="6579F944"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4" w:space="0" w:color="auto"/>
              <w:right w:val="nil"/>
            </w:tcBorders>
          </w:tcPr>
          <w:p w14:paraId="135C9C18" w14:textId="63470982" w:rsidR="00EE6765" w:rsidRPr="00715A0E" w:rsidRDefault="00EE6765" w:rsidP="00C431A7">
            <w:pPr>
              <w:spacing w:line="240" w:lineRule="auto"/>
              <w:jc w:val="right"/>
              <w:rPr>
                <w:rFonts w:ascii="Calibri" w:eastAsia="Times New Roman" w:hAnsi="Calibri" w:cs="Calibri"/>
                <w:color w:val="00B050"/>
                <w:sz w:val="12"/>
                <w:szCs w:val="12"/>
              </w:rPr>
            </w:pPr>
            <w:r>
              <w:rPr>
                <w:rFonts w:ascii="Calibri" w:hAnsi="Calibri"/>
                <w:color w:val="00B050"/>
                <w:sz w:val="12"/>
              </w:rPr>
              <w:t>-13,6</w:t>
            </w:r>
          </w:p>
        </w:tc>
        <w:tc>
          <w:tcPr>
            <w:tcW w:w="164" w:type="dxa"/>
            <w:tcBorders>
              <w:top w:val="nil"/>
              <w:left w:val="nil"/>
              <w:right w:val="nil"/>
            </w:tcBorders>
          </w:tcPr>
          <w:p w14:paraId="62DCF7E5"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4" w:space="0" w:color="auto"/>
              <w:right w:val="nil"/>
            </w:tcBorders>
          </w:tcPr>
          <w:p w14:paraId="521EE85A" w14:textId="2484B82B"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-15,6</w:t>
            </w:r>
          </w:p>
        </w:tc>
        <w:tc>
          <w:tcPr>
            <w:tcW w:w="164" w:type="dxa"/>
            <w:tcBorders>
              <w:top w:val="nil"/>
              <w:left w:val="nil"/>
              <w:right w:val="nil"/>
            </w:tcBorders>
          </w:tcPr>
          <w:p w14:paraId="06C4AE93"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4" w:space="0" w:color="auto"/>
              <w:right w:val="nil"/>
            </w:tcBorders>
          </w:tcPr>
          <w:p w14:paraId="4269E3C4"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r>
      <w:tr w:rsidR="00EE6765" w:rsidRPr="00715A0E" w14:paraId="1462F93E" w14:textId="77777777" w:rsidTr="00C431A7">
        <w:trPr>
          <w:trHeight w:val="300"/>
        </w:trPr>
        <w:tc>
          <w:tcPr>
            <w:tcW w:w="1984" w:type="dxa"/>
            <w:tcBorders>
              <w:top w:val="single" w:sz="4" w:space="0" w:color="auto"/>
              <w:left w:val="nil"/>
              <w:bottom w:val="single" w:sz="8" w:space="0" w:color="707070"/>
              <w:right w:val="nil"/>
            </w:tcBorders>
            <w:noWrap/>
            <w:vAlign w:val="center"/>
            <w:hideMark/>
          </w:tcPr>
          <w:p w14:paraId="6C9567AA" w14:textId="77777777" w:rsidR="00EE6765" w:rsidRPr="00715A0E" w:rsidRDefault="00EE6765" w:rsidP="00C431A7">
            <w:pPr>
              <w:spacing w:line="240" w:lineRule="auto"/>
              <w:rPr>
                <w:rFonts w:ascii="Calibri" w:eastAsia="Times New Roman" w:hAnsi="Calibri" w:cs="Calibri"/>
                <w:b/>
                <w:bCs/>
                <w:sz w:val="14"/>
                <w:szCs w:val="14"/>
              </w:rPr>
            </w:pPr>
            <w:proofErr w:type="spellStart"/>
            <w:r>
              <w:rPr>
                <w:rFonts w:ascii="Calibri" w:hAnsi="Calibri"/>
                <w:b/>
                <w:sz w:val="14"/>
              </w:rPr>
              <w:t>Powertrain</w:t>
            </w:r>
            <w:proofErr w:type="spellEnd"/>
            <w:r>
              <w:rPr>
                <w:rFonts w:ascii="Calibri" w:hAnsi="Calibri"/>
                <w:b/>
                <w:sz w:val="14"/>
              </w:rPr>
              <w:t xml:space="preserve"> &amp; Chassis</w:t>
            </w:r>
          </w:p>
        </w:tc>
        <w:tc>
          <w:tcPr>
            <w:tcW w:w="163" w:type="dxa"/>
            <w:tcBorders>
              <w:top w:val="nil"/>
              <w:left w:val="nil"/>
              <w:bottom w:val="nil"/>
              <w:right w:val="nil"/>
            </w:tcBorders>
            <w:noWrap/>
            <w:vAlign w:val="bottom"/>
            <w:hideMark/>
          </w:tcPr>
          <w:p w14:paraId="3AB6E4A9" w14:textId="77777777" w:rsidR="00EE6765" w:rsidRPr="00715A0E" w:rsidRDefault="00EE6765" w:rsidP="00C431A7">
            <w:pPr>
              <w:spacing w:line="240" w:lineRule="auto"/>
              <w:rPr>
                <w:rFonts w:ascii="Calibri" w:eastAsia="Times New Roman" w:hAnsi="Calibri" w:cs="Calibri"/>
                <w:b/>
                <w:bCs/>
                <w:sz w:val="14"/>
                <w:szCs w:val="14"/>
                <w:lang w:eastAsia="de-DE"/>
              </w:rPr>
            </w:pPr>
          </w:p>
        </w:tc>
        <w:tc>
          <w:tcPr>
            <w:tcW w:w="794" w:type="dxa"/>
            <w:tcBorders>
              <w:top w:val="single" w:sz="4" w:space="0" w:color="auto"/>
              <w:left w:val="nil"/>
              <w:bottom w:val="nil"/>
              <w:right w:val="nil"/>
            </w:tcBorders>
            <w:noWrap/>
            <w:vAlign w:val="center"/>
            <w:hideMark/>
          </w:tcPr>
          <w:p w14:paraId="156F03A2" w14:textId="77777777" w:rsidR="00EE6765" w:rsidRPr="00715A0E" w:rsidRDefault="00EE6765" w:rsidP="00C431A7">
            <w:pPr>
              <w:spacing w:line="240" w:lineRule="auto"/>
              <w:jc w:val="right"/>
              <w:rPr>
                <w:rFonts w:ascii="Calibri" w:eastAsia="Times New Roman" w:hAnsi="Calibri" w:cs="Calibri"/>
                <w:b/>
                <w:bCs/>
                <w:sz w:val="14"/>
                <w:szCs w:val="14"/>
              </w:rPr>
            </w:pPr>
            <w:r>
              <w:rPr>
                <w:rFonts w:ascii="Calibri" w:hAnsi="Calibri"/>
                <w:b/>
                <w:sz w:val="14"/>
              </w:rPr>
              <w:t> </w:t>
            </w:r>
          </w:p>
        </w:tc>
        <w:tc>
          <w:tcPr>
            <w:tcW w:w="162" w:type="dxa"/>
            <w:tcBorders>
              <w:top w:val="nil"/>
              <w:left w:val="nil"/>
              <w:bottom w:val="nil"/>
              <w:right w:val="nil"/>
            </w:tcBorders>
            <w:noWrap/>
            <w:vAlign w:val="bottom"/>
            <w:hideMark/>
          </w:tcPr>
          <w:p w14:paraId="5EEB2854" w14:textId="77777777" w:rsidR="00EE6765" w:rsidRPr="00715A0E" w:rsidRDefault="00EE6765" w:rsidP="00C431A7">
            <w:pPr>
              <w:spacing w:line="240" w:lineRule="auto"/>
              <w:jc w:val="right"/>
              <w:rPr>
                <w:rFonts w:ascii="Calibri" w:eastAsia="Times New Roman" w:hAnsi="Calibri" w:cs="Calibri"/>
                <w:b/>
                <w:bCs/>
                <w:sz w:val="14"/>
                <w:szCs w:val="14"/>
                <w:lang w:eastAsia="de-DE"/>
              </w:rPr>
            </w:pPr>
          </w:p>
        </w:tc>
        <w:tc>
          <w:tcPr>
            <w:tcW w:w="796" w:type="dxa"/>
            <w:tcBorders>
              <w:top w:val="single" w:sz="4" w:space="0" w:color="auto"/>
              <w:left w:val="nil"/>
              <w:bottom w:val="nil"/>
              <w:right w:val="nil"/>
            </w:tcBorders>
            <w:noWrap/>
            <w:vAlign w:val="center"/>
            <w:hideMark/>
          </w:tcPr>
          <w:p w14:paraId="7E770D7B" w14:textId="77777777" w:rsidR="00EE6765" w:rsidRPr="00715A0E" w:rsidRDefault="00EE6765" w:rsidP="00C431A7">
            <w:pPr>
              <w:spacing w:line="240" w:lineRule="auto"/>
              <w:jc w:val="right"/>
              <w:rPr>
                <w:rFonts w:ascii="Calibri" w:eastAsia="Times New Roman" w:hAnsi="Calibri" w:cs="Calibri"/>
                <w:b/>
                <w:bCs/>
                <w:sz w:val="14"/>
                <w:szCs w:val="14"/>
              </w:rPr>
            </w:pPr>
            <w:r>
              <w:rPr>
                <w:rFonts w:ascii="Calibri" w:hAnsi="Calibri"/>
                <w:b/>
                <w:sz w:val="14"/>
              </w:rPr>
              <w:t> </w:t>
            </w:r>
          </w:p>
        </w:tc>
        <w:tc>
          <w:tcPr>
            <w:tcW w:w="161" w:type="dxa"/>
            <w:tcBorders>
              <w:left w:val="nil"/>
              <w:bottom w:val="nil"/>
              <w:right w:val="nil"/>
            </w:tcBorders>
          </w:tcPr>
          <w:p w14:paraId="384D2843" w14:textId="77777777" w:rsidR="00EE6765" w:rsidRPr="00715A0E" w:rsidRDefault="00EE6765" w:rsidP="00C431A7">
            <w:pPr>
              <w:spacing w:line="240" w:lineRule="auto"/>
              <w:jc w:val="right"/>
              <w:rPr>
                <w:rFonts w:ascii="Calibri" w:eastAsia="Times New Roman" w:hAnsi="Calibri" w:cs="Calibri"/>
                <w:b/>
                <w:bCs/>
                <w:sz w:val="14"/>
                <w:szCs w:val="14"/>
                <w:lang w:eastAsia="de-DE"/>
              </w:rPr>
            </w:pPr>
          </w:p>
        </w:tc>
        <w:tc>
          <w:tcPr>
            <w:tcW w:w="1020" w:type="dxa"/>
            <w:tcBorders>
              <w:top w:val="single" w:sz="4" w:space="0" w:color="auto"/>
              <w:left w:val="nil"/>
              <w:bottom w:val="nil"/>
              <w:right w:val="nil"/>
            </w:tcBorders>
          </w:tcPr>
          <w:p w14:paraId="030E607E" w14:textId="77777777" w:rsidR="00EE6765" w:rsidRPr="00715A0E" w:rsidRDefault="00EE6765" w:rsidP="00C431A7">
            <w:pPr>
              <w:spacing w:line="240" w:lineRule="auto"/>
              <w:jc w:val="right"/>
              <w:rPr>
                <w:rFonts w:ascii="Calibri" w:eastAsia="Times New Roman" w:hAnsi="Calibri" w:cs="Calibri"/>
                <w:b/>
                <w:bCs/>
                <w:sz w:val="14"/>
                <w:szCs w:val="14"/>
                <w:lang w:eastAsia="de-DE"/>
              </w:rPr>
            </w:pPr>
          </w:p>
        </w:tc>
        <w:tc>
          <w:tcPr>
            <w:tcW w:w="163" w:type="dxa"/>
            <w:tcBorders>
              <w:left w:val="nil"/>
              <w:bottom w:val="nil"/>
              <w:right w:val="nil"/>
            </w:tcBorders>
          </w:tcPr>
          <w:p w14:paraId="5998868E" w14:textId="77777777" w:rsidR="00EE6765" w:rsidRPr="00715A0E" w:rsidRDefault="00EE6765" w:rsidP="00C431A7">
            <w:pPr>
              <w:spacing w:line="240" w:lineRule="auto"/>
              <w:jc w:val="right"/>
              <w:rPr>
                <w:rFonts w:ascii="Calibri" w:eastAsia="Times New Roman" w:hAnsi="Calibri" w:cs="Calibri"/>
                <w:b/>
                <w:bCs/>
                <w:sz w:val="14"/>
                <w:szCs w:val="14"/>
                <w:lang w:eastAsia="de-DE"/>
              </w:rPr>
            </w:pPr>
          </w:p>
        </w:tc>
        <w:tc>
          <w:tcPr>
            <w:tcW w:w="794" w:type="dxa"/>
            <w:tcBorders>
              <w:top w:val="single" w:sz="4" w:space="0" w:color="auto"/>
              <w:left w:val="nil"/>
              <w:bottom w:val="nil"/>
              <w:right w:val="nil"/>
            </w:tcBorders>
          </w:tcPr>
          <w:p w14:paraId="4B6EEC0D" w14:textId="77777777" w:rsidR="00EE6765" w:rsidRPr="00715A0E" w:rsidRDefault="00EE6765" w:rsidP="00C431A7">
            <w:pPr>
              <w:spacing w:line="240" w:lineRule="auto"/>
              <w:jc w:val="right"/>
              <w:rPr>
                <w:rFonts w:ascii="Calibri" w:eastAsia="Times New Roman" w:hAnsi="Calibri" w:cs="Calibri"/>
                <w:b/>
                <w:bCs/>
                <w:sz w:val="14"/>
                <w:szCs w:val="14"/>
                <w:lang w:eastAsia="de-DE"/>
              </w:rPr>
            </w:pPr>
          </w:p>
        </w:tc>
        <w:tc>
          <w:tcPr>
            <w:tcW w:w="164" w:type="dxa"/>
            <w:tcBorders>
              <w:left w:val="nil"/>
              <w:bottom w:val="nil"/>
              <w:right w:val="nil"/>
            </w:tcBorders>
          </w:tcPr>
          <w:p w14:paraId="79627FDE" w14:textId="77777777" w:rsidR="00EE6765" w:rsidRPr="00715A0E" w:rsidRDefault="00EE6765" w:rsidP="00C431A7">
            <w:pPr>
              <w:spacing w:line="240" w:lineRule="auto"/>
              <w:jc w:val="right"/>
              <w:rPr>
                <w:rFonts w:ascii="Calibri" w:eastAsia="Times New Roman" w:hAnsi="Calibri" w:cs="Calibri"/>
                <w:b/>
                <w:bCs/>
                <w:sz w:val="14"/>
                <w:szCs w:val="14"/>
                <w:lang w:eastAsia="de-DE"/>
              </w:rPr>
            </w:pPr>
          </w:p>
        </w:tc>
        <w:tc>
          <w:tcPr>
            <w:tcW w:w="794" w:type="dxa"/>
            <w:tcBorders>
              <w:top w:val="single" w:sz="4" w:space="0" w:color="auto"/>
              <w:left w:val="nil"/>
              <w:bottom w:val="nil"/>
              <w:right w:val="nil"/>
            </w:tcBorders>
          </w:tcPr>
          <w:p w14:paraId="52D05CFC" w14:textId="77777777" w:rsidR="00EE6765" w:rsidRPr="00715A0E" w:rsidRDefault="00EE6765" w:rsidP="00C431A7">
            <w:pPr>
              <w:spacing w:line="240" w:lineRule="auto"/>
              <w:jc w:val="right"/>
              <w:rPr>
                <w:rFonts w:ascii="Calibri" w:eastAsia="Times New Roman" w:hAnsi="Calibri" w:cs="Calibri"/>
                <w:b/>
                <w:bCs/>
                <w:sz w:val="14"/>
                <w:szCs w:val="14"/>
                <w:lang w:eastAsia="de-DE"/>
              </w:rPr>
            </w:pPr>
          </w:p>
        </w:tc>
        <w:tc>
          <w:tcPr>
            <w:tcW w:w="164" w:type="dxa"/>
            <w:tcBorders>
              <w:left w:val="nil"/>
              <w:bottom w:val="nil"/>
              <w:right w:val="nil"/>
            </w:tcBorders>
          </w:tcPr>
          <w:p w14:paraId="1E8C1AC6" w14:textId="77777777" w:rsidR="00EE6765" w:rsidRPr="00715A0E" w:rsidRDefault="00EE6765" w:rsidP="00C431A7">
            <w:pPr>
              <w:spacing w:line="240" w:lineRule="auto"/>
              <w:jc w:val="right"/>
              <w:rPr>
                <w:rFonts w:ascii="Calibri" w:eastAsia="Times New Roman" w:hAnsi="Calibri" w:cs="Calibri"/>
                <w:b/>
                <w:bCs/>
                <w:sz w:val="14"/>
                <w:szCs w:val="14"/>
                <w:lang w:eastAsia="de-DE"/>
              </w:rPr>
            </w:pPr>
          </w:p>
        </w:tc>
        <w:tc>
          <w:tcPr>
            <w:tcW w:w="1020" w:type="dxa"/>
            <w:tcBorders>
              <w:top w:val="single" w:sz="4" w:space="0" w:color="auto"/>
              <w:left w:val="nil"/>
              <w:bottom w:val="nil"/>
              <w:right w:val="nil"/>
            </w:tcBorders>
          </w:tcPr>
          <w:p w14:paraId="7FEBCEA1" w14:textId="77777777" w:rsidR="00EE6765" w:rsidRPr="00715A0E" w:rsidRDefault="00EE6765" w:rsidP="00C431A7">
            <w:pPr>
              <w:spacing w:line="240" w:lineRule="auto"/>
              <w:jc w:val="right"/>
              <w:rPr>
                <w:rFonts w:ascii="Calibri" w:eastAsia="Times New Roman" w:hAnsi="Calibri" w:cs="Calibri"/>
                <w:b/>
                <w:bCs/>
                <w:sz w:val="14"/>
                <w:szCs w:val="14"/>
                <w:lang w:eastAsia="de-DE"/>
              </w:rPr>
            </w:pPr>
          </w:p>
        </w:tc>
      </w:tr>
      <w:tr w:rsidR="00EE6765" w:rsidRPr="00715A0E" w14:paraId="19A11A67" w14:textId="77777777" w:rsidTr="00C431A7">
        <w:trPr>
          <w:trHeight w:val="300"/>
        </w:trPr>
        <w:tc>
          <w:tcPr>
            <w:tcW w:w="1984" w:type="dxa"/>
            <w:tcBorders>
              <w:top w:val="nil"/>
              <w:left w:val="nil"/>
              <w:bottom w:val="single" w:sz="8" w:space="0" w:color="707070"/>
              <w:right w:val="nil"/>
            </w:tcBorders>
            <w:noWrap/>
            <w:vAlign w:val="center"/>
            <w:hideMark/>
          </w:tcPr>
          <w:p w14:paraId="340071A7"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Fatturato</w:t>
            </w:r>
          </w:p>
        </w:tc>
        <w:tc>
          <w:tcPr>
            <w:tcW w:w="163" w:type="dxa"/>
            <w:tcBorders>
              <w:top w:val="nil"/>
              <w:left w:val="nil"/>
              <w:bottom w:val="nil"/>
              <w:right w:val="nil"/>
            </w:tcBorders>
            <w:noWrap/>
            <w:vAlign w:val="bottom"/>
            <w:hideMark/>
          </w:tcPr>
          <w:p w14:paraId="1014DB01"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794" w:type="dxa"/>
            <w:tcBorders>
              <w:top w:val="nil"/>
              <w:left w:val="nil"/>
              <w:bottom w:val="single" w:sz="8" w:space="0" w:color="707070"/>
              <w:right w:val="nil"/>
            </w:tcBorders>
            <w:noWrap/>
            <w:vAlign w:val="center"/>
            <w:hideMark/>
          </w:tcPr>
          <w:p w14:paraId="0B2265D8" w14:textId="7C7F47C2"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4.247</w:t>
            </w:r>
          </w:p>
        </w:tc>
        <w:tc>
          <w:tcPr>
            <w:tcW w:w="162" w:type="dxa"/>
            <w:tcBorders>
              <w:top w:val="nil"/>
              <w:left w:val="nil"/>
              <w:bottom w:val="nil"/>
              <w:right w:val="nil"/>
            </w:tcBorders>
            <w:noWrap/>
            <w:vAlign w:val="bottom"/>
            <w:hideMark/>
          </w:tcPr>
          <w:p w14:paraId="41A9D6F3"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796" w:type="dxa"/>
            <w:tcBorders>
              <w:top w:val="nil"/>
              <w:left w:val="nil"/>
              <w:bottom w:val="single" w:sz="8" w:space="0" w:color="707070"/>
              <w:right w:val="nil"/>
            </w:tcBorders>
            <w:noWrap/>
            <w:vAlign w:val="center"/>
            <w:hideMark/>
          </w:tcPr>
          <w:p w14:paraId="2BA80D0F" w14:textId="767C05EA" w:rsidR="00EE6765" w:rsidRPr="00715A0E" w:rsidRDefault="000F7B27" w:rsidP="00C431A7">
            <w:pPr>
              <w:spacing w:line="240" w:lineRule="auto"/>
              <w:jc w:val="right"/>
              <w:rPr>
                <w:rFonts w:ascii="Calibri" w:eastAsia="Times New Roman" w:hAnsi="Calibri" w:cs="Calibri"/>
                <w:sz w:val="14"/>
                <w:szCs w:val="14"/>
              </w:rPr>
            </w:pPr>
            <w:r>
              <w:rPr>
                <w:rFonts w:ascii="Calibri" w:hAnsi="Calibri"/>
                <w:sz w:val="14"/>
              </w:rPr>
              <w:t>4.501</w:t>
            </w:r>
          </w:p>
        </w:tc>
        <w:tc>
          <w:tcPr>
            <w:tcW w:w="161" w:type="dxa"/>
            <w:tcBorders>
              <w:top w:val="nil"/>
              <w:left w:val="nil"/>
              <w:right w:val="nil"/>
            </w:tcBorders>
          </w:tcPr>
          <w:p w14:paraId="6909B7B0"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34D8C077" w14:textId="5FDBFDC8"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-5,6</w:t>
            </w:r>
          </w:p>
        </w:tc>
        <w:tc>
          <w:tcPr>
            <w:tcW w:w="163" w:type="dxa"/>
            <w:tcBorders>
              <w:top w:val="nil"/>
              <w:left w:val="nil"/>
              <w:right w:val="nil"/>
            </w:tcBorders>
          </w:tcPr>
          <w:p w14:paraId="7A5C73C9"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707070"/>
              <w:right w:val="nil"/>
            </w:tcBorders>
          </w:tcPr>
          <w:p w14:paraId="47D2EF10" w14:textId="3C046D5F"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2.106</w:t>
            </w:r>
          </w:p>
        </w:tc>
        <w:tc>
          <w:tcPr>
            <w:tcW w:w="164" w:type="dxa"/>
            <w:tcBorders>
              <w:top w:val="nil"/>
              <w:left w:val="nil"/>
              <w:right w:val="nil"/>
            </w:tcBorders>
          </w:tcPr>
          <w:p w14:paraId="022A1B33"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707070"/>
              <w:right w:val="nil"/>
            </w:tcBorders>
          </w:tcPr>
          <w:p w14:paraId="24621399" w14:textId="01DE681B"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2.223</w:t>
            </w:r>
          </w:p>
        </w:tc>
        <w:tc>
          <w:tcPr>
            <w:tcW w:w="164" w:type="dxa"/>
            <w:tcBorders>
              <w:top w:val="nil"/>
              <w:left w:val="nil"/>
              <w:right w:val="nil"/>
            </w:tcBorders>
          </w:tcPr>
          <w:p w14:paraId="6196A488"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6B32DEFA" w14:textId="03700351"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-5,3</w:t>
            </w:r>
          </w:p>
        </w:tc>
      </w:tr>
      <w:tr w:rsidR="00EE6765" w:rsidRPr="00715A0E" w14:paraId="40ABF989" w14:textId="77777777" w:rsidTr="00C431A7">
        <w:trPr>
          <w:trHeight w:val="300"/>
        </w:trPr>
        <w:tc>
          <w:tcPr>
            <w:tcW w:w="1984" w:type="dxa"/>
            <w:tcBorders>
              <w:top w:val="nil"/>
              <w:left w:val="nil"/>
              <w:bottom w:val="single" w:sz="8" w:space="0" w:color="707070"/>
              <w:right w:val="nil"/>
            </w:tcBorders>
            <w:noWrap/>
            <w:vAlign w:val="center"/>
            <w:hideMark/>
          </w:tcPr>
          <w:p w14:paraId="547EA561"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2"/>
              </w:rPr>
              <w:t>• a valuta costante</w:t>
            </w:r>
          </w:p>
        </w:tc>
        <w:tc>
          <w:tcPr>
            <w:tcW w:w="163" w:type="dxa"/>
            <w:tcBorders>
              <w:top w:val="nil"/>
              <w:left w:val="nil"/>
              <w:bottom w:val="nil"/>
              <w:right w:val="nil"/>
            </w:tcBorders>
            <w:noWrap/>
            <w:vAlign w:val="bottom"/>
            <w:hideMark/>
          </w:tcPr>
          <w:p w14:paraId="199B4A6A"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nil"/>
              <w:left w:val="nil"/>
              <w:bottom w:val="single" w:sz="8" w:space="0" w:color="707070"/>
              <w:right w:val="nil"/>
            </w:tcBorders>
            <w:noWrap/>
            <w:vAlign w:val="center"/>
            <w:hideMark/>
          </w:tcPr>
          <w:p w14:paraId="7582859E" w14:textId="77777777" w:rsidR="00EE6765" w:rsidRPr="00715A0E" w:rsidRDefault="00EE6765" w:rsidP="00C431A7">
            <w:pPr>
              <w:spacing w:line="240" w:lineRule="auto"/>
              <w:jc w:val="right"/>
              <w:rPr>
                <w:rFonts w:ascii="Calibri" w:eastAsia="Times New Roman" w:hAnsi="Calibri" w:cs="Calibri"/>
                <w:color w:val="00B050"/>
                <w:sz w:val="12"/>
                <w:szCs w:val="12"/>
              </w:rPr>
            </w:pPr>
            <w:r>
              <w:rPr>
                <w:rFonts w:ascii="Calibri" w:hAnsi="Calibri"/>
                <w:color w:val="00B050"/>
                <w:sz w:val="12"/>
              </w:rPr>
              <w:t> </w:t>
            </w:r>
          </w:p>
        </w:tc>
        <w:tc>
          <w:tcPr>
            <w:tcW w:w="162" w:type="dxa"/>
            <w:tcBorders>
              <w:top w:val="nil"/>
              <w:left w:val="nil"/>
              <w:bottom w:val="nil"/>
              <w:right w:val="nil"/>
            </w:tcBorders>
            <w:noWrap/>
            <w:vAlign w:val="bottom"/>
            <w:hideMark/>
          </w:tcPr>
          <w:p w14:paraId="2B4CF8AF"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nil"/>
              <w:left w:val="nil"/>
              <w:bottom w:val="single" w:sz="8" w:space="0" w:color="707070"/>
              <w:right w:val="nil"/>
            </w:tcBorders>
            <w:noWrap/>
            <w:vAlign w:val="center"/>
            <w:hideMark/>
          </w:tcPr>
          <w:p w14:paraId="42ED15D6"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1" w:type="dxa"/>
            <w:tcBorders>
              <w:top w:val="nil"/>
              <w:left w:val="nil"/>
              <w:right w:val="nil"/>
            </w:tcBorders>
          </w:tcPr>
          <w:p w14:paraId="1C6B786E"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8" w:space="0" w:color="707070"/>
              <w:right w:val="nil"/>
            </w:tcBorders>
          </w:tcPr>
          <w:p w14:paraId="61F7C496" w14:textId="17D37305"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-3,4</w:t>
            </w:r>
          </w:p>
        </w:tc>
        <w:tc>
          <w:tcPr>
            <w:tcW w:w="163" w:type="dxa"/>
            <w:tcBorders>
              <w:top w:val="nil"/>
              <w:left w:val="nil"/>
              <w:right w:val="nil"/>
            </w:tcBorders>
          </w:tcPr>
          <w:p w14:paraId="793DAA45"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8" w:space="0" w:color="707070"/>
              <w:right w:val="nil"/>
            </w:tcBorders>
          </w:tcPr>
          <w:p w14:paraId="4DBA1BF7"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top w:val="nil"/>
              <w:left w:val="nil"/>
              <w:right w:val="nil"/>
            </w:tcBorders>
          </w:tcPr>
          <w:p w14:paraId="77CFB928"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8" w:space="0" w:color="707070"/>
              <w:right w:val="nil"/>
            </w:tcBorders>
          </w:tcPr>
          <w:p w14:paraId="76FF18FB"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top w:val="nil"/>
              <w:left w:val="nil"/>
              <w:right w:val="nil"/>
            </w:tcBorders>
          </w:tcPr>
          <w:p w14:paraId="336E534A"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8" w:space="0" w:color="707070"/>
              <w:right w:val="nil"/>
            </w:tcBorders>
          </w:tcPr>
          <w:p w14:paraId="2A7E0C56" w14:textId="55C7E620"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-5,1</w:t>
            </w:r>
          </w:p>
        </w:tc>
      </w:tr>
      <w:tr w:rsidR="00EE6765" w:rsidRPr="00715A0E" w14:paraId="1D9404C1" w14:textId="77777777" w:rsidTr="00C431A7">
        <w:trPr>
          <w:trHeight w:val="300"/>
        </w:trPr>
        <w:tc>
          <w:tcPr>
            <w:tcW w:w="1984" w:type="dxa"/>
            <w:tcBorders>
              <w:top w:val="nil"/>
              <w:left w:val="nil"/>
              <w:bottom w:val="single" w:sz="8" w:space="0" w:color="707070"/>
              <w:right w:val="nil"/>
            </w:tcBorders>
            <w:noWrap/>
            <w:vAlign w:val="center"/>
            <w:hideMark/>
          </w:tcPr>
          <w:p w14:paraId="2090E2C0"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EBIT prima di operazioni straordinarie</w:t>
            </w:r>
            <w:r>
              <w:rPr>
                <w:rFonts w:ascii="Calibri" w:hAnsi="Calibri"/>
                <w:sz w:val="14"/>
                <w:vertAlign w:val="superscript"/>
              </w:rPr>
              <w:t>1</w:t>
            </w:r>
          </w:p>
        </w:tc>
        <w:tc>
          <w:tcPr>
            <w:tcW w:w="163" w:type="dxa"/>
            <w:tcBorders>
              <w:top w:val="nil"/>
              <w:left w:val="nil"/>
              <w:bottom w:val="nil"/>
              <w:right w:val="nil"/>
            </w:tcBorders>
            <w:noWrap/>
            <w:vAlign w:val="bottom"/>
            <w:hideMark/>
          </w:tcPr>
          <w:p w14:paraId="71579B64"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794" w:type="dxa"/>
            <w:tcBorders>
              <w:top w:val="nil"/>
              <w:left w:val="nil"/>
              <w:bottom w:val="single" w:sz="8" w:space="0" w:color="707070"/>
              <w:right w:val="nil"/>
            </w:tcBorders>
            <w:noWrap/>
            <w:vAlign w:val="center"/>
            <w:hideMark/>
          </w:tcPr>
          <w:p w14:paraId="48F13BA5" w14:textId="04FB4F6F" w:rsidR="00EE6765" w:rsidRPr="00715A0E" w:rsidRDefault="000F7B27" w:rsidP="00C431A7">
            <w:pPr>
              <w:spacing w:line="240" w:lineRule="auto"/>
              <w:jc w:val="right"/>
              <w:rPr>
                <w:rFonts w:ascii="Calibri" w:eastAsia="Times New Roman" w:hAnsi="Calibri" w:cs="Calibri"/>
                <w:color w:val="00B050"/>
                <w:sz w:val="14"/>
                <w:szCs w:val="14"/>
              </w:rPr>
            </w:pPr>
            <w:r>
              <w:rPr>
                <w:rFonts w:ascii="Calibri" w:hAnsi="Calibri"/>
                <w:color w:val="00B050"/>
                <w:sz w:val="14"/>
              </w:rPr>
              <w:t>473</w:t>
            </w:r>
          </w:p>
        </w:tc>
        <w:tc>
          <w:tcPr>
            <w:tcW w:w="162" w:type="dxa"/>
            <w:tcBorders>
              <w:top w:val="nil"/>
              <w:left w:val="nil"/>
              <w:bottom w:val="nil"/>
              <w:right w:val="nil"/>
            </w:tcBorders>
            <w:noWrap/>
            <w:vAlign w:val="bottom"/>
            <w:hideMark/>
          </w:tcPr>
          <w:p w14:paraId="698A0D91"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796" w:type="dxa"/>
            <w:tcBorders>
              <w:top w:val="nil"/>
              <w:left w:val="nil"/>
              <w:bottom w:val="single" w:sz="8" w:space="0" w:color="707070"/>
              <w:right w:val="nil"/>
            </w:tcBorders>
            <w:noWrap/>
            <w:vAlign w:val="center"/>
            <w:hideMark/>
          </w:tcPr>
          <w:p w14:paraId="703771B4" w14:textId="261BE662" w:rsidR="00EE6765" w:rsidRPr="00715A0E" w:rsidRDefault="000F7B27" w:rsidP="00C431A7">
            <w:pPr>
              <w:spacing w:line="240" w:lineRule="auto"/>
              <w:jc w:val="right"/>
              <w:rPr>
                <w:rFonts w:ascii="Calibri" w:eastAsia="Times New Roman" w:hAnsi="Calibri" w:cs="Calibri"/>
                <w:sz w:val="14"/>
                <w:szCs w:val="14"/>
              </w:rPr>
            </w:pPr>
            <w:r>
              <w:rPr>
                <w:rFonts w:ascii="Calibri" w:hAnsi="Calibri"/>
                <w:sz w:val="14"/>
              </w:rPr>
              <w:t>520</w:t>
            </w:r>
          </w:p>
        </w:tc>
        <w:tc>
          <w:tcPr>
            <w:tcW w:w="161" w:type="dxa"/>
            <w:tcBorders>
              <w:top w:val="nil"/>
              <w:left w:val="nil"/>
              <w:right w:val="nil"/>
            </w:tcBorders>
          </w:tcPr>
          <w:p w14:paraId="1A11F42A"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3DD0A6C8" w14:textId="08FC00FE"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-9,1</w:t>
            </w:r>
          </w:p>
        </w:tc>
        <w:tc>
          <w:tcPr>
            <w:tcW w:w="163" w:type="dxa"/>
            <w:tcBorders>
              <w:top w:val="nil"/>
              <w:left w:val="nil"/>
              <w:right w:val="nil"/>
            </w:tcBorders>
          </w:tcPr>
          <w:p w14:paraId="089B10FD"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707070"/>
              <w:right w:val="nil"/>
            </w:tcBorders>
          </w:tcPr>
          <w:p w14:paraId="3FE77494" w14:textId="3317C7E2" w:rsidR="00EE6765" w:rsidRPr="00715A0E" w:rsidRDefault="000F7B27" w:rsidP="00C431A7">
            <w:pPr>
              <w:spacing w:line="240" w:lineRule="auto"/>
              <w:jc w:val="right"/>
              <w:rPr>
                <w:rFonts w:ascii="Calibri" w:eastAsia="Times New Roman" w:hAnsi="Calibri" w:cs="Calibri"/>
                <w:sz w:val="14"/>
                <w:szCs w:val="14"/>
              </w:rPr>
            </w:pPr>
            <w:r>
              <w:rPr>
                <w:rFonts w:ascii="Calibri" w:hAnsi="Calibri"/>
                <w:color w:val="00B050"/>
                <w:sz w:val="14"/>
              </w:rPr>
              <w:t>227</w:t>
            </w:r>
          </w:p>
        </w:tc>
        <w:tc>
          <w:tcPr>
            <w:tcW w:w="164" w:type="dxa"/>
            <w:tcBorders>
              <w:top w:val="nil"/>
              <w:left w:val="nil"/>
              <w:right w:val="nil"/>
            </w:tcBorders>
          </w:tcPr>
          <w:p w14:paraId="2D703439"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707070"/>
              <w:right w:val="nil"/>
            </w:tcBorders>
          </w:tcPr>
          <w:p w14:paraId="44903C1C" w14:textId="12F70AB4"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230</w:t>
            </w:r>
          </w:p>
        </w:tc>
        <w:tc>
          <w:tcPr>
            <w:tcW w:w="164" w:type="dxa"/>
            <w:tcBorders>
              <w:top w:val="nil"/>
              <w:left w:val="nil"/>
              <w:right w:val="nil"/>
            </w:tcBorders>
          </w:tcPr>
          <w:p w14:paraId="6C5EC9FF"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0B7834F3" w14:textId="10497A57"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-1,4</w:t>
            </w:r>
          </w:p>
        </w:tc>
      </w:tr>
      <w:tr w:rsidR="00EE6765" w:rsidRPr="00715A0E" w14:paraId="6AC85898" w14:textId="77777777" w:rsidTr="00C431A7">
        <w:trPr>
          <w:trHeight w:val="300"/>
        </w:trPr>
        <w:tc>
          <w:tcPr>
            <w:tcW w:w="1984" w:type="dxa"/>
            <w:tcBorders>
              <w:top w:val="nil"/>
              <w:left w:val="nil"/>
              <w:bottom w:val="single" w:sz="4" w:space="0" w:color="auto"/>
              <w:right w:val="nil"/>
            </w:tcBorders>
            <w:vAlign w:val="center"/>
            <w:hideMark/>
          </w:tcPr>
          <w:p w14:paraId="5287159C"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2"/>
              </w:rPr>
              <w:t>• in % di fatturato</w:t>
            </w:r>
          </w:p>
        </w:tc>
        <w:tc>
          <w:tcPr>
            <w:tcW w:w="163" w:type="dxa"/>
            <w:tcBorders>
              <w:top w:val="nil"/>
              <w:left w:val="nil"/>
              <w:bottom w:val="nil"/>
              <w:right w:val="nil"/>
            </w:tcBorders>
            <w:noWrap/>
            <w:vAlign w:val="bottom"/>
            <w:hideMark/>
          </w:tcPr>
          <w:p w14:paraId="2354F60A"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nil"/>
              <w:left w:val="nil"/>
              <w:bottom w:val="single" w:sz="4" w:space="0" w:color="auto"/>
              <w:right w:val="nil"/>
            </w:tcBorders>
            <w:noWrap/>
            <w:vAlign w:val="center"/>
            <w:hideMark/>
          </w:tcPr>
          <w:p w14:paraId="0D6F947C" w14:textId="27752F62" w:rsidR="00EE6765" w:rsidRPr="00715A0E" w:rsidRDefault="00EE6765" w:rsidP="00C431A7">
            <w:pPr>
              <w:spacing w:line="240" w:lineRule="auto"/>
              <w:jc w:val="right"/>
              <w:rPr>
                <w:rFonts w:ascii="Calibri" w:eastAsia="Times New Roman" w:hAnsi="Calibri" w:cs="Calibri"/>
                <w:color w:val="00B050"/>
                <w:sz w:val="12"/>
                <w:szCs w:val="12"/>
              </w:rPr>
            </w:pPr>
            <w:r>
              <w:rPr>
                <w:rFonts w:ascii="Calibri" w:hAnsi="Calibri"/>
                <w:color w:val="00B050"/>
                <w:sz w:val="12"/>
              </w:rPr>
              <w:t>11,1</w:t>
            </w:r>
          </w:p>
        </w:tc>
        <w:tc>
          <w:tcPr>
            <w:tcW w:w="162" w:type="dxa"/>
            <w:tcBorders>
              <w:top w:val="nil"/>
              <w:left w:val="nil"/>
              <w:bottom w:val="nil"/>
              <w:right w:val="nil"/>
            </w:tcBorders>
            <w:noWrap/>
            <w:vAlign w:val="bottom"/>
            <w:hideMark/>
          </w:tcPr>
          <w:p w14:paraId="0CA00B07"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nil"/>
              <w:left w:val="nil"/>
              <w:bottom w:val="single" w:sz="4" w:space="0" w:color="auto"/>
              <w:right w:val="nil"/>
            </w:tcBorders>
            <w:noWrap/>
            <w:vAlign w:val="center"/>
            <w:hideMark/>
          </w:tcPr>
          <w:p w14:paraId="72D3C4EF" w14:textId="2F78EAD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 xml:space="preserve">11,6 </w:t>
            </w:r>
          </w:p>
        </w:tc>
        <w:tc>
          <w:tcPr>
            <w:tcW w:w="161" w:type="dxa"/>
            <w:tcBorders>
              <w:top w:val="nil"/>
              <w:left w:val="nil"/>
              <w:bottom w:val="nil"/>
              <w:right w:val="nil"/>
            </w:tcBorders>
          </w:tcPr>
          <w:p w14:paraId="41370A46"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4" w:space="0" w:color="auto"/>
              <w:right w:val="nil"/>
            </w:tcBorders>
            <w:vAlign w:val="center"/>
          </w:tcPr>
          <w:p w14:paraId="7791E63C"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c>
          <w:tcPr>
            <w:tcW w:w="163" w:type="dxa"/>
            <w:tcBorders>
              <w:top w:val="nil"/>
              <w:left w:val="nil"/>
              <w:right w:val="nil"/>
            </w:tcBorders>
          </w:tcPr>
          <w:p w14:paraId="333A7E97"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4" w:space="0" w:color="auto"/>
              <w:right w:val="nil"/>
            </w:tcBorders>
          </w:tcPr>
          <w:p w14:paraId="661724D2" w14:textId="420C6093" w:rsidR="00EE6765" w:rsidRPr="00715A0E" w:rsidRDefault="00CD2263" w:rsidP="00C431A7">
            <w:pPr>
              <w:spacing w:line="240" w:lineRule="auto"/>
              <w:jc w:val="right"/>
              <w:rPr>
                <w:rFonts w:ascii="Calibri" w:eastAsia="Times New Roman" w:hAnsi="Calibri" w:cs="Calibri"/>
                <w:color w:val="00B050"/>
                <w:sz w:val="12"/>
                <w:szCs w:val="12"/>
              </w:rPr>
            </w:pPr>
            <w:r>
              <w:rPr>
                <w:rFonts w:ascii="Calibri" w:hAnsi="Calibri"/>
                <w:color w:val="00B050"/>
                <w:sz w:val="12"/>
              </w:rPr>
              <w:t>10,8</w:t>
            </w:r>
          </w:p>
        </w:tc>
        <w:tc>
          <w:tcPr>
            <w:tcW w:w="164" w:type="dxa"/>
            <w:tcBorders>
              <w:top w:val="nil"/>
              <w:left w:val="nil"/>
              <w:right w:val="nil"/>
            </w:tcBorders>
          </w:tcPr>
          <w:p w14:paraId="20EC6E73"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4" w:space="0" w:color="auto"/>
              <w:right w:val="nil"/>
            </w:tcBorders>
          </w:tcPr>
          <w:p w14:paraId="2955E34F" w14:textId="59220534"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10,3</w:t>
            </w:r>
          </w:p>
        </w:tc>
        <w:tc>
          <w:tcPr>
            <w:tcW w:w="164" w:type="dxa"/>
            <w:tcBorders>
              <w:top w:val="nil"/>
              <w:left w:val="nil"/>
              <w:right w:val="nil"/>
            </w:tcBorders>
          </w:tcPr>
          <w:p w14:paraId="5EFE03A5"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4" w:space="0" w:color="auto"/>
              <w:right w:val="nil"/>
            </w:tcBorders>
          </w:tcPr>
          <w:p w14:paraId="51DEC8C0"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r>
      <w:tr w:rsidR="00EE6765" w:rsidRPr="00715A0E" w14:paraId="7F534B98" w14:textId="77777777" w:rsidTr="00C431A7">
        <w:trPr>
          <w:trHeight w:val="300"/>
        </w:trPr>
        <w:tc>
          <w:tcPr>
            <w:tcW w:w="1984" w:type="dxa"/>
            <w:tcBorders>
              <w:top w:val="single" w:sz="4" w:space="0" w:color="auto"/>
              <w:left w:val="nil"/>
              <w:bottom w:val="single" w:sz="8" w:space="0" w:color="707070"/>
              <w:right w:val="nil"/>
            </w:tcBorders>
            <w:noWrap/>
            <w:vAlign w:val="center"/>
            <w:hideMark/>
          </w:tcPr>
          <w:p w14:paraId="22FBC02C" w14:textId="77777777" w:rsidR="00EE6765" w:rsidRPr="00715A0E" w:rsidRDefault="00EE6765" w:rsidP="00C431A7">
            <w:pPr>
              <w:spacing w:line="240" w:lineRule="auto"/>
              <w:rPr>
                <w:rFonts w:ascii="Calibri" w:eastAsia="Times New Roman" w:hAnsi="Calibri" w:cs="Calibri"/>
                <w:b/>
                <w:bCs/>
                <w:sz w:val="14"/>
                <w:szCs w:val="14"/>
              </w:rPr>
            </w:pPr>
            <w:proofErr w:type="spellStart"/>
            <w:r>
              <w:rPr>
                <w:rFonts w:ascii="Calibri" w:hAnsi="Calibri"/>
                <w:b/>
                <w:sz w:val="14"/>
              </w:rPr>
              <w:t>Vehicle</w:t>
            </w:r>
            <w:proofErr w:type="spellEnd"/>
            <w:r>
              <w:rPr>
                <w:rFonts w:ascii="Calibri" w:hAnsi="Calibri"/>
                <w:b/>
                <w:sz w:val="14"/>
              </w:rPr>
              <w:t xml:space="preserve"> Lifetime Solutions</w:t>
            </w:r>
          </w:p>
        </w:tc>
        <w:tc>
          <w:tcPr>
            <w:tcW w:w="163" w:type="dxa"/>
            <w:tcBorders>
              <w:top w:val="nil"/>
              <w:left w:val="nil"/>
              <w:bottom w:val="nil"/>
              <w:right w:val="nil"/>
            </w:tcBorders>
            <w:noWrap/>
            <w:vAlign w:val="bottom"/>
            <w:hideMark/>
          </w:tcPr>
          <w:p w14:paraId="2F0822B0" w14:textId="77777777" w:rsidR="00EE6765" w:rsidRPr="00715A0E" w:rsidRDefault="00EE6765" w:rsidP="00C431A7">
            <w:pPr>
              <w:spacing w:line="240" w:lineRule="auto"/>
              <w:rPr>
                <w:rFonts w:ascii="Calibri" w:eastAsia="Times New Roman" w:hAnsi="Calibri" w:cs="Calibri"/>
                <w:b/>
                <w:bCs/>
                <w:sz w:val="14"/>
                <w:szCs w:val="14"/>
                <w:lang w:eastAsia="de-DE"/>
              </w:rPr>
            </w:pPr>
          </w:p>
        </w:tc>
        <w:tc>
          <w:tcPr>
            <w:tcW w:w="794" w:type="dxa"/>
            <w:tcBorders>
              <w:top w:val="single" w:sz="4" w:space="0" w:color="auto"/>
              <w:left w:val="nil"/>
              <w:bottom w:val="nil"/>
              <w:right w:val="nil"/>
            </w:tcBorders>
            <w:noWrap/>
            <w:vAlign w:val="center"/>
            <w:hideMark/>
          </w:tcPr>
          <w:p w14:paraId="66279772" w14:textId="77777777" w:rsidR="00EE6765" w:rsidRPr="00715A0E" w:rsidRDefault="00EE6765" w:rsidP="00C431A7">
            <w:pPr>
              <w:spacing w:line="240" w:lineRule="auto"/>
              <w:jc w:val="right"/>
              <w:rPr>
                <w:rFonts w:ascii="Calibri" w:eastAsia="Times New Roman" w:hAnsi="Calibri" w:cs="Calibri"/>
                <w:color w:val="00B050"/>
                <w:sz w:val="12"/>
                <w:szCs w:val="12"/>
              </w:rPr>
            </w:pPr>
            <w:r>
              <w:rPr>
                <w:rFonts w:ascii="Calibri" w:hAnsi="Calibri"/>
                <w:color w:val="00B050"/>
                <w:sz w:val="12"/>
              </w:rPr>
              <w:t> </w:t>
            </w:r>
          </w:p>
        </w:tc>
        <w:tc>
          <w:tcPr>
            <w:tcW w:w="162" w:type="dxa"/>
            <w:tcBorders>
              <w:top w:val="nil"/>
              <w:left w:val="nil"/>
              <w:bottom w:val="nil"/>
              <w:right w:val="nil"/>
            </w:tcBorders>
            <w:noWrap/>
            <w:vAlign w:val="bottom"/>
            <w:hideMark/>
          </w:tcPr>
          <w:p w14:paraId="17E9E4A1"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single" w:sz="4" w:space="0" w:color="auto"/>
              <w:left w:val="nil"/>
              <w:bottom w:val="nil"/>
              <w:right w:val="nil"/>
            </w:tcBorders>
            <w:noWrap/>
            <w:vAlign w:val="center"/>
            <w:hideMark/>
          </w:tcPr>
          <w:p w14:paraId="02F4C3C4"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2"/>
              </w:rPr>
              <w:t> </w:t>
            </w:r>
          </w:p>
        </w:tc>
        <w:tc>
          <w:tcPr>
            <w:tcW w:w="161" w:type="dxa"/>
            <w:tcBorders>
              <w:left w:val="nil"/>
              <w:bottom w:val="nil"/>
              <w:right w:val="nil"/>
            </w:tcBorders>
          </w:tcPr>
          <w:p w14:paraId="0306F06D"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1020" w:type="dxa"/>
            <w:tcBorders>
              <w:top w:val="single" w:sz="4" w:space="0" w:color="auto"/>
              <w:left w:val="nil"/>
              <w:bottom w:val="nil"/>
              <w:right w:val="nil"/>
            </w:tcBorders>
          </w:tcPr>
          <w:p w14:paraId="3C423E3F"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163" w:type="dxa"/>
            <w:tcBorders>
              <w:left w:val="nil"/>
              <w:bottom w:val="nil"/>
              <w:right w:val="nil"/>
            </w:tcBorders>
          </w:tcPr>
          <w:p w14:paraId="545ACDA6"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single" w:sz="4" w:space="0" w:color="auto"/>
              <w:left w:val="nil"/>
              <w:bottom w:val="nil"/>
              <w:right w:val="nil"/>
            </w:tcBorders>
          </w:tcPr>
          <w:p w14:paraId="3A90388A"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164" w:type="dxa"/>
            <w:tcBorders>
              <w:left w:val="nil"/>
              <w:bottom w:val="nil"/>
              <w:right w:val="nil"/>
            </w:tcBorders>
          </w:tcPr>
          <w:p w14:paraId="49D5DACD"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single" w:sz="4" w:space="0" w:color="auto"/>
              <w:left w:val="nil"/>
              <w:bottom w:val="nil"/>
              <w:right w:val="nil"/>
            </w:tcBorders>
          </w:tcPr>
          <w:p w14:paraId="2C37CE0E"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164" w:type="dxa"/>
            <w:tcBorders>
              <w:left w:val="nil"/>
              <w:bottom w:val="nil"/>
              <w:right w:val="nil"/>
            </w:tcBorders>
          </w:tcPr>
          <w:p w14:paraId="73E8B1EB"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1020" w:type="dxa"/>
            <w:tcBorders>
              <w:top w:val="single" w:sz="4" w:space="0" w:color="auto"/>
              <w:left w:val="nil"/>
              <w:bottom w:val="nil"/>
              <w:right w:val="nil"/>
            </w:tcBorders>
          </w:tcPr>
          <w:p w14:paraId="40FE8579" w14:textId="77777777" w:rsidR="00EE6765" w:rsidRPr="00715A0E" w:rsidRDefault="00EE6765" w:rsidP="00C431A7">
            <w:pPr>
              <w:spacing w:line="240" w:lineRule="auto"/>
              <w:rPr>
                <w:rFonts w:ascii="Calibri" w:eastAsia="Times New Roman" w:hAnsi="Calibri" w:cs="Calibri"/>
                <w:sz w:val="12"/>
                <w:szCs w:val="12"/>
                <w:lang w:eastAsia="de-DE"/>
              </w:rPr>
            </w:pPr>
          </w:p>
        </w:tc>
      </w:tr>
      <w:tr w:rsidR="00EE6765" w:rsidRPr="00715A0E" w14:paraId="56780B59" w14:textId="77777777" w:rsidTr="00C431A7">
        <w:trPr>
          <w:trHeight w:val="300"/>
        </w:trPr>
        <w:tc>
          <w:tcPr>
            <w:tcW w:w="1984" w:type="dxa"/>
            <w:tcBorders>
              <w:top w:val="nil"/>
              <w:left w:val="nil"/>
              <w:bottom w:val="single" w:sz="8" w:space="0" w:color="707070"/>
              <w:right w:val="nil"/>
            </w:tcBorders>
            <w:noWrap/>
            <w:vAlign w:val="center"/>
            <w:hideMark/>
          </w:tcPr>
          <w:p w14:paraId="398801DA"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Fatturato</w:t>
            </w:r>
          </w:p>
        </w:tc>
        <w:tc>
          <w:tcPr>
            <w:tcW w:w="163" w:type="dxa"/>
            <w:tcBorders>
              <w:top w:val="nil"/>
              <w:left w:val="nil"/>
              <w:bottom w:val="nil"/>
              <w:right w:val="nil"/>
            </w:tcBorders>
            <w:noWrap/>
            <w:vAlign w:val="bottom"/>
            <w:hideMark/>
          </w:tcPr>
          <w:p w14:paraId="31BBD6F2"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794" w:type="dxa"/>
            <w:tcBorders>
              <w:top w:val="nil"/>
              <w:left w:val="nil"/>
              <w:bottom w:val="single" w:sz="8" w:space="0" w:color="707070"/>
              <w:right w:val="nil"/>
            </w:tcBorders>
            <w:noWrap/>
            <w:vAlign w:val="center"/>
            <w:hideMark/>
          </w:tcPr>
          <w:p w14:paraId="0E31D816" w14:textId="19D3B04B"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1.601</w:t>
            </w:r>
          </w:p>
        </w:tc>
        <w:tc>
          <w:tcPr>
            <w:tcW w:w="162" w:type="dxa"/>
            <w:tcBorders>
              <w:top w:val="nil"/>
              <w:left w:val="nil"/>
              <w:bottom w:val="nil"/>
              <w:right w:val="nil"/>
            </w:tcBorders>
            <w:noWrap/>
            <w:vAlign w:val="bottom"/>
            <w:hideMark/>
          </w:tcPr>
          <w:p w14:paraId="293B7320"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796" w:type="dxa"/>
            <w:tcBorders>
              <w:top w:val="nil"/>
              <w:left w:val="nil"/>
              <w:bottom w:val="single" w:sz="8" w:space="0" w:color="707070"/>
              <w:right w:val="nil"/>
            </w:tcBorders>
            <w:noWrap/>
            <w:vAlign w:val="center"/>
            <w:hideMark/>
          </w:tcPr>
          <w:p w14:paraId="68BC4FC4" w14:textId="05C32CD6"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1.621</w:t>
            </w:r>
          </w:p>
        </w:tc>
        <w:tc>
          <w:tcPr>
            <w:tcW w:w="161" w:type="dxa"/>
            <w:tcBorders>
              <w:top w:val="nil"/>
              <w:left w:val="nil"/>
              <w:right w:val="nil"/>
            </w:tcBorders>
          </w:tcPr>
          <w:p w14:paraId="1B4CF470"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724A252E" w14:textId="798A5195"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-1,3</w:t>
            </w:r>
          </w:p>
        </w:tc>
        <w:tc>
          <w:tcPr>
            <w:tcW w:w="163" w:type="dxa"/>
            <w:tcBorders>
              <w:top w:val="nil"/>
              <w:left w:val="nil"/>
              <w:right w:val="nil"/>
            </w:tcBorders>
          </w:tcPr>
          <w:p w14:paraId="21815444"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707070"/>
              <w:right w:val="nil"/>
            </w:tcBorders>
          </w:tcPr>
          <w:p w14:paraId="798A8699" w14:textId="1F670E3E" w:rsidR="00EE6765" w:rsidRPr="00715A0E" w:rsidRDefault="00CD2263" w:rsidP="00C431A7">
            <w:pPr>
              <w:spacing w:line="240" w:lineRule="auto"/>
              <w:jc w:val="right"/>
              <w:rPr>
                <w:rFonts w:ascii="Calibri" w:eastAsia="Times New Roman" w:hAnsi="Calibri" w:cs="Calibri"/>
                <w:sz w:val="14"/>
                <w:szCs w:val="14"/>
              </w:rPr>
            </w:pPr>
            <w:r>
              <w:rPr>
                <w:rFonts w:ascii="Calibri" w:hAnsi="Calibri"/>
                <w:color w:val="00B050"/>
                <w:sz w:val="14"/>
              </w:rPr>
              <w:t>799</w:t>
            </w:r>
          </w:p>
        </w:tc>
        <w:tc>
          <w:tcPr>
            <w:tcW w:w="164" w:type="dxa"/>
            <w:tcBorders>
              <w:top w:val="nil"/>
              <w:left w:val="nil"/>
              <w:right w:val="nil"/>
            </w:tcBorders>
          </w:tcPr>
          <w:p w14:paraId="525A89E0"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707070"/>
              <w:right w:val="nil"/>
            </w:tcBorders>
          </w:tcPr>
          <w:p w14:paraId="76683E99" w14:textId="56D9E0CA"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808</w:t>
            </w:r>
          </w:p>
        </w:tc>
        <w:tc>
          <w:tcPr>
            <w:tcW w:w="164" w:type="dxa"/>
            <w:tcBorders>
              <w:top w:val="nil"/>
              <w:left w:val="nil"/>
              <w:right w:val="nil"/>
            </w:tcBorders>
          </w:tcPr>
          <w:p w14:paraId="183666D3"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7A136E36" w14:textId="0C9C55F1"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-1,1</w:t>
            </w:r>
          </w:p>
        </w:tc>
      </w:tr>
      <w:tr w:rsidR="00EE6765" w:rsidRPr="00715A0E" w14:paraId="29E60CC4" w14:textId="77777777" w:rsidTr="00C431A7">
        <w:trPr>
          <w:trHeight w:val="300"/>
        </w:trPr>
        <w:tc>
          <w:tcPr>
            <w:tcW w:w="1984" w:type="dxa"/>
            <w:tcBorders>
              <w:top w:val="nil"/>
              <w:left w:val="nil"/>
              <w:bottom w:val="single" w:sz="8" w:space="0" w:color="707070"/>
              <w:right w:val="nil"/>
            </w:tcBorders>
            <w:noWrap/>
            <w:vAlign w:val="center"/>
            <w:hideMark/>
          </w:tcPr>
          <w:p w14:paraId="56582761"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2"/>
              </w:rPr>
              <w:t>• a valuta costante</w:t>
            </w:r>
          </w:p>
        </w:tc>
        <w:tc>
          <w:tcPr>
            <w:tcW w:w="163" w:type="dxa"/>
            <w:tcBorders>
              <w:top w:val="nil"/>
              <w:left w:val="nil"/>
              <w:bottom w:val="nil"/>
              <w:right w:val="nil"/>
            </w:tcBorders>
            <w:noWrap/>
            <w:vAlign w:val="bottom"/>
            <w:hideMark/>
          </w:tcPr>
          <w:p w14:paraId="0EEB8A1C"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nil"/>
              <w:left w:val="nil"/>
              <w:bottom w:val="single" w:sz="8" w:space="0" w:color="707070"/>
              <w:right w:val="nil"/>
            </w:tcBorders>
            <w:noWrap/>
            <w:vAlign w:val="center"/>
            <w:hideMark/>
          </w:tcPr>
          <w:p w14:paraId="7D1E0DCA" w14:textId="77777777" w:rsidR="00EE6765" w:rsidRPr="00715A0E" w:rsidRDefault="00EE6765" w:rsidP="00C431A7">
            <w:pPr>
              <w:spacing w:line="240" w:lineRule="auto"/>
              <w:jc w:val="right"/>
              <w:rPr>
                <w:rFonts w:ascii="Calibri" w:eastAsia="Times New Roman" w:hAnsi="Calibri" w:cs="Calibri"/>
                <w:color w:val="00B050"/>
                <w:sz w:val="12"/>
                <w:szCs w:val="12"/>
              </w:rPr>
            </w:pPr>
            <w:r>
              <w:rPr>
                <w:rFonts w:ascii="Calibri" w:hAnsi="Calibri"/>
                <w:color w:val="00B050"/>
                <w:sz w:val="12"/>
              </w:rPr>
              <w:t> </w:t>
            </w:r>
          </w:p>
        </w:tc>
        <w:tc>
          <w:tcPr>
            <w:tcW w:w="162" w:type="dxa"/>
            <w:tcBorders>
              <w:top w:val="nil"/>
              <w:left w:val="nil"/>
              <w:bottom w:val="nil"/>
              <w:right w:val="nil"/>
            </w:tcBorders>
            <w:noWrap/>
            <w:vAlign w:val="bottom"/>
            <w:hideMark/>
          </w:tcPr>
          <w:p w14:paraId="0503F260"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nil"/>
              <w:left w:val="nil"/>
              <w:bottom w:val="single" w:sz="8" w:space="0" w:color="707070"/>
              <w:right w:val="nil"/>
            </w:tcBorders>
            <w:noWrap/>
            <w:vAlign w:val="center"/>
            <w:hideMark/>
          </w:tcPr>
          <w:p w14:paraId="03760740"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1" w:type="dxa"/>
            <w:tcBorders>
              <w:top w:val="nil"/>
              <w:left w:val="nil"/>
              <w:right w:val="nil"/>
            </w:tcBorders>
          </w:tcPr>
          <w:p w14:paraId="6200C278"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8" w:space="0" w:color="707070"/>
              <w:right w:val="nil"/>
            </w:tcBorders>
          </w:tcPr>
          <w:p w14:paraId="5231537A" w14:textId="512F31F3" w:rsidR="00EE6765" w:rsidRPr="00715A0E" w:rsidRDefault="00CD2263" w:rsidP="00C431A7">
            <w:pPr>
              <w:spacing w:line="240" w:lineRule="auto"/>
              <w:jc w:val="right"/>
              <w:rPr>
                <w:rFonts w:ascii="Calibri" w:eastAsia="Times New Roman" w:hAnsi="Calibri" w:cs="Calibri"/>
                <w:sz w:val="12"/>
                <w:szCs w:val="12"/>
              </w:rPr>
            </w:pPr>
            <w:r>
              <w:rPr>
                <w:rFonts w:ascii="Calibri" w:hAnsi="Calibri"/>
                <w:sz w:val="12"/>
              </w:rPr>
              <w:t>-0,1</w:t>
            </w:r>
          </w:p>
        </w:tc>
        <w:tc>
          <w:tcPr>
            <w:tcW w:w="163" w:type="dxa"/>
            <w:tcBorders>
              <w:top w:val="nil"/>
              <w:left w:val="nil"/>
              <w:right w:val="nil"/>
            </w:tcBorders>
          </w:tcPr>
          <w:p w14:paraId="495C6003"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8" w:space="0" w:color="707070"/>
              <w:right w:val="nil"/>
            </w:tcBorders>
          </w:tcPr>
          <w:p w14:paraId="77DC341E"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top w:val="nil"/>
              <w:left w:val="nil"/>
              <w:right w:val="nil"/>
            </w:tcBorders>
          </w:tcPr>
          <w:p w14:paraId="55C86BB7"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8" w:space="0" w:color="707070"/>
              <w:right w:val="nil"/>
            </w:tcBorders>
          </w:tcPr>
          <w:p w14:paraId="04D93F66"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top w:val="nil"/>
              <w:left w:val="nil"/>
              <w:right w:val="nil"/>
            </w:tcBorders>
          </w:tcPr>
          <w:p w14:paraId="1D61DF75"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8" w:space="0" w:color="707070"/>
              <w:right w:val="nil"/>
            </w:tcBorders>
          </w:tcPr>
          <w:p w14:paraId="4EC65635" w14:textId="6CD9E0C2" w:rsidR="00EE6765" w:rsidRPr="00715A0E" w:rsidRDefault="00CD2263" w:rsidP="00C431A7">
            <w:pPr>
              <w:spacing w:line="240" w:lineRule="auto"/>
              <w:jc w:val="right"/>
              <w:rPr>
                <w:rFonts w:ascii="Calibri" w:eastAsia="Times New Roman" w:hAnsi="Calibri" w:cs="Calibri"/>
                <w:sz w:val="12"/>
                <w:szCs w:val="12"/>
              </w:rPr>
            </w:pPr>
            <w:r>
              <w:rPr>
                <w:rFonts w:ascii="Calibri" w:hAnsi="Calibri"/>
                <w:sz w:val="12"/>
              </w:rPr>
              <w:t>-1,2</w:t>
            </w:r>
          </w:p>
        </w:tc>
      </w:tr>
      <w:tr w:rsidR="00EE6765" w:rsidRPr="00715A0E" w14:paraId="1C582462" w14:textId="77777777" w:rsidTr="00C431A7">
        <w:trPr>
          <w:trHeight w:val="300"/>
        </w:trPr>
        <w:tc>
          <w:tcPr>
            <w:tcW w:w="1984" w:type="dxa"/>
            <w:tcBorders>
              <w:top w:val="nil"/>
              <w:left w:val="nil"/>
              <w:bottom w:val="single" w:sz="8" w:space="0" w:color="707070"/>
              <w:right w:val="nil"/>
            </w:tcBorders>
            <w:noWrap/>
            <w:vAlign w:val="center"/>
            <w:hideMark/>
          </w:tcPr>
          <w:p w14:paraId="7984890D"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4"/>
              </w:rPr>
              <w:t>EBIT prima di operazioni straordinarie</w:t>
            </w:r>
            <w:r>
              <w:rPr>
                <w:rFonts w:ascii="Calibri" w:hAnsi="Calibri"/>
                <w:sz w:val="14"/>
                <w:vertAlign w:val="superscript"/>
              </w:rPr>
              <w:t>1</w:t>
            </w:r>
          </w:p>
        </w:tc>
        <w:tc>
          <w:tcPr>
            <w:tcW w:w="163" w:type="dxa"/>
            <w:tcBorders>
              <w:top w:val="nil"/>
              <w:left w:val="nil"/>
              <w:bottom w:val="nil"/>
              <w:right w:val="nil"/>
            </w:tcBorders>
            <w:noWrap/>
            <w:vAlign w:val="bottom"/>
            <w:hideMark/>
          </w:tcPr>
          <w:p w14:paraId="6C8AAD5C" w14:textId="77777777" w:rsidR="00EE6765" w:rsidRPr="00715A0E" w:rsidRDefault="00EE6765" w:rsidP="00C431A7">
            <w:pPr>
              <w:spacing w:line="240" w:lineRule="auto"/>
              <w:rPr>
                <w:rFonts w:ascii="Calibri" w:eastAsia="Times New Roman" w:hAnsi="Calibri" w:cs="Calibri"/>
                <w:sz w:val="14"/>
                <w:szCs w:val="14"/>
                <w:lang w:eastAsia="de-DE"/>
              </w:rPr>
            </w:pPr>
          </w:p>
        </w:tc>
        <w:tc>
          <w:tcPr>
            <w:tcW w:w="794" w:type="dxa"/>
            <w:tcBorders>
              <w:top w:val="nil"/>
              <w:left w:val="nil"/>
              <w:bottom w:val="single" w:sz="8" w:space="0" w:color="707070"/>
              <w:right w:val="nil"/>
            </w:tcBorders>
            <w:noWrap/>
            <w:vAlign w:val="center"/>
            <w:hideMark/>
          </w:tcPr>
          <w:p w14:paraId="1F298328" w14:textId="612F46C7" w:rsidR="00EE6765" w:rsidRPr="00715A0E" w:rsidRDefault="00CD2263" w:rsidP="00C431A7">
            <w:pPr>
              <w:spacing w:line="240" w:lineRule="auto"/>
              <w:jc w:val="right"/>
              <w:rPr>
                <w:rFonts w:ascii="Calibri" w:eastAsia="Times New Roman" w:hAnsi="Calibri" w:cs="Calibri"/>
                <w:color w:val="00B050"/>
                <w:sz w:val="14"/>
                <w:szCs w:val="14"/>
              </w:rPr>
            </w:pPr>
            <w:r>
              <w:rPr>
                <w:rFonts w:ascii="Calibri" w:hAnsi="Calibri"/>
                <w:color w:val="00B050"/>
                <w:sz w:val="14"/>
              </w:rPr>
              <w:t>248</w:t>
            </w:r>
          </w:p>
        </w:tc>
        <w:tc>
          <w:tcPr>
            <w:tcW w:w="162" w:type="dxa"/>
            <w:tcBorders>
              <w:top w:val="nil"/>
              <w:left w:val="nil"/>
              <w:bottom w:val="nil"/>
              <w:right w:val="nil"/>
            </w:tcBorders>
            <w:noWrap/>
            <w:vAlign w:val="bottom"/>
            <w:hideMark/>
          </w:tcPr>
          <w:p w14:paraId="16995C31" w14:textId="77777777" w:rsidR="00EE6765" w:rsidRPr="00715A0E" w:rsidRDefault="00EE6765" w:rsidP="00C431A7">
            <w:pPr>
              <w:spacing w:line="240" w:lineRule="auto"/>
              <w:jc w:val="right"/>
              <w:rPr>
                <w:rFonts w:ascii="Calibri" w:eastAsia="Times New Roman" w:hAnsi="Calibri" w:cs="Calibri"/>
                <w:color w:val="00B050"/>
                <w:sz w:val="14"/>
                <w:szCs w:val="14"/>
                <w:lang w:eastAsia="de-DE"/>
              </w:rPr>
            </w:pPr>
          </w:p>
        </w:tc>
        <w:tc>
          <w:tcPr>
            <w:tcW w:w="796" w:type="dxa"/>
            <w:tcBorders>
              <w:top w:val="nil"/>
              <w:left w:val="nil"/>
              <w:bottom w:val="single" w:sz="8" w:space="0" w:color="707070"/>
              <w:right w:val="nil"/>
            </w:tcBorders>
            <w:noWrap/>
            <w:vAlign w:val="center"/>
            <w:hideMark/>
          </w:tcPr>
          <w:p w14:paraId="1472824B" w14:textId="11C4A7DD"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239</w:t>
            </w:r>
          </w:p>
        </w:tc>
        <w:tc>
          <w:tcPr>
            <w:tcW w:w="161" w:type="dxa"/>
            <w:tcBorders>
              <w:top w:val="nil"/>
              <w:left w:val="nil"/>
              <w:right w:val="nil"/>
            </w:tcBorders>
          </w:tcPr>
          <w:p w14:paraId="07FD3D75"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192B6C8D" w14:textId="5625DD7D" w:rsidR="00EE6765" w:rsidRPr="00715A0E" w:rsidRDefault="0012224C" w:rsidP="00C431A7">
            <w:pPr>
              <w:spacing w:line="240" w:lineRule="auto"/>
              <w:jc w:val="right"/>
              <w:rPr>
                <w:rFonts w:ascii="Calibri" w:eastAsia="Times New Roman" w:hAnsi="Calibri" w:cs="Calibri"/>
                <w:sz w:val="14"/>
                <w:szCs w:val="14"/>
              </w:rPr>
            </w:pPr>
            <w:r>
              <w:rPr>
                <w:rFonts w:ascii="Calibri" w:hAnsi="Calibri"/>
                <w:sz w:val="14"/>
              </w:rPr>
              <w:t>3,6</w:t>
            </w:r>
          </w:p>
        </w:tc>
        <w:tc>
          <w:tcPr>
            <w:tcW w:w="163" w:type="dxa"/>
            <w:tcBorders>
              <w:top w:val="nil"/>
              <w:left w:val="nil"/>
              <w:right w:val="nil"/>
            </w:tcBorders>
          </w:tcPr>
          <w:p w14:paraId="31F015CB"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707070"/>
              <w:right w:val="nil"/>
            </w:tcBorders>
          </w:tcPr>
          <w:p w14:paraId="6280EBE7" w14:textId="230F3237" w:rsidR="00EE6765" w:rsidRPr="00715A0E" w:rsidRDefault="00CD2263" w:rsidP="00C431A7">
            <w:pPr>
              <w:spacing w:line="240" w:lineRule="auto"/>
              <w:jc w:val="right"/>
              <w:rPr>
                <w:rFonts w:ascii="Calibri" w:eastAsia="Times New Roman" w:hAnsi="Calibri" w:cs="Calibri"/>
                <w:sz w:val="14"/>
                <w:szCs w:val="14"/>
              </w:rPr>
            </w:pPr>
            <w:r>
              <w:rPr>
                <w:rFonts w:ascii="Calibri" w:hAnsi="Calibri"/>
                <w:color w:val="00B050"/>
                <w:sz w:val="14"/>
              </w:rPr>
              <w:t>120</w:t>
            </w:r>
          </w:p>
        </w:tc>
        <w:tc>
          <w:tcPr>
            <w:tcW w:w="164" w:type="dxa"/>
            <w:tcBorders>
              <w:top w:val="nil"/>
              <w:left w:val="nil"/>
              <w:right w:val="nil"/>
            </w:tcBorders>
          </w:tcPr>
          <w:p w14:paraId="06E6F0FC"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707070"/>
              <w:right w:val="nil"/>
            </w:tcBorders>
          </w:tcPr>
          <w:p w14:paraId="64B7B4E2" w14:textId="535E99D2"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113</w:t>
            </w:r>
          </w:p>
        </w:tc>
        <w:tc>
          <w:tcPr>
            <w:tcW w:w="164" w:type="dxa"/>
            <w:tcBorders>
              <w:top w:val="nil"/>
              <w:left w:val="nil"/>
              <w:right w:val="nil"/>
            </w:tcBorders>
          </w:tcPr>
          <w:p w14:paraId="76A32AEC"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707070"/>
              <w:right w:val="nil"/>
            </w:tcBorders>
          </w:tcPr>
          <w:p w14:paraId="6CB2A45B" w14:textId="23A4BB7D" w:rsidR="00EE6765" w:rsidRPr="00715A0E" w:rsidRDefault="0012224C" w:rsidP="00C431A7">
            <w:pPr>
              <w:spacing w:line="240" w:lineRule="auto"/>
              <w:jc w:val="right"/>
              <w:rPr>
                <w:rFonts w:ascii="Calibri" w:eastAsia="Times New Roman" w:hAnsi="Calibri" w:cs="Calibri"/>
                <w:sz w:val="14"/>
                <w:szCs w:val="14"/>
              </w:rPr>
            </w:pPr>
            <w:r>
              <w:rPr>
                <w:rFonts w:ascii="Calibri" w:hAnsi="Calibri"/>
                <w:sz w:val="14"/>
              </w:rPr>
              <w:t>5,8</w:t>
            </w:r>
          </w:p>
        </w:tc>
      </w:tr>
      <w:tr w:rsidR="00EE6765" w:rsidRPr="00715A0E" w14:paraId="6F296BF6" w14:textId="77777777" w:rsidTr="00C431A7">
        <w:trPr>
          <w:trHeight w:val="300"/>
        </w:trPr>
        <w:tc>
          <w:tcPr>
            <w:tcW w:w="1984" w:type="dxa"/>
            <w:tcBorders>
              <w:top w:val="nil"/>
              <w:left w:val="nil"/>
              <w:bottom w:val="single" w:sz="4" w:space="0" w:color="auto"/>
              <w:right w:val="nil"/>
            </w:tcBorders>
            <w:vAlign w:val="center"/>
            <w:hideMark/>
          </w:tcPr>
          <w:p w14:paraId="7C7877AC"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2"/>
              </w:rPr>
              <w:t>• in % di fatturato</w:t>
            </w:r>
          </w:p>
        </w:tc>
        <w:tc>
          <w:tcPr>
            <w:tcW w:w="163" w:type="dxa"/>
            <w:tcBorders>
              <w:top w:val="nil"/>
              <w:left w:val="nil"/>
              <w:right w:val="nil"/>
            </w:tcBorders>
            <w:noWrap/>
            <w:vAlign w:val="bottom"/>
            <w:hideMark/>
          </w:tcPr>
          <w:p w14:paraId="34940AE7"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nil"/>
              <w:left w:val="nil"/>
              <w:bottom w:val="single" w:sz="4" w:space="0" w:color="auto"/>
              <w:right w:val="nil"/>
            </w:tcBorders>
            <w:noWrap/>
            <w:vAlign w:val="center"/>
            <w:hideMark/>
          </w:tcPr>
          <w:p w14:paraId="2E731EDA" w14:textId="3F761D96" w:rsidR="00EE6765" w:rsidRPr="00715A0E" w:rsidRDefault="00EE6765" w:rsidP="00C431A7">
            <w:pPr>
              <w:spacing w:line="240" w:lineRule="auto"/>
              <w:jc w:val="right"/>
              <w:rPr>
                <w:rFonts w:ascii="Calibri" w:eastAsia="Times New Roman" w:hAnsi="Calibri" w:cs="Calibri"/>
                <w:color w:val="00B050"/>
                <w:sz w:val="12"/>
                <w:szCs w:val="12"/>
              </w:rPr>
            </w:pPr>
            <w:r>
              <w:rPr>
                <w:rFonts w:ascii="Calibri" w:hAnsi="Calibri"/>
                <w:color w:val="00B050"/>
                <w:sz w:val="12"/>
              </w:rPr>
              <w:t>15,5</w:t>
            </w:r>
          </w:p>
        </w:tc>
        <w:tc>
          <w:tcPr>
            <w:tcW w:w="162" w:type="dxa"/>
            <w:tcBorders>
              <w:top w:val="nil"/>
              <w:left w:val="nil"/>
              <w:right w:val="nil"/>
            </w:tcBorders>
            <w:noWrap/>
            <w:vAlign w:val="bottom"/>
            <w:hideMark/>
          </w:tcPr>
          <w:p w14:paraId="1173705B"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nil"/>
              <w:left w:val="nil"/>
              <w:bottom w:val="single" w:sz="4" w:space="0" w:color="auto"/>
              <w:right w:val="nil"/>
            </w:tcBorders>
            <w:noWrap/>
            <w:vAlign w:val="center"/>
            <w:hideMark/>
          </w:tcPr>
          <w:p w14:paraId="14AA20C3" w14:textId="0EDBEB13"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14,7</w:t>
            </w:r>
          </w:p>
        </w:tc>
        <w:tc>
          <w:tcPr>
            <w:tcW w:w="161" w:type="dxa"/>
            <w:tcBorders>
              <w:top w:val="nil"/>
              <w:left w:val="nil"/>
              <w:right w:val="nil"/>
            </w:tcBorders>
          </w:tcPr>
          <w:p w14:paraId="5DB79A2D"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4" w:space="0" w:color="auto"/>
              <w:right w:val="nil"/>
            </w:tcBorders>
          </w:tcPr>
          <w:p w14:paraId="67A2992C"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c>
          <w:tcPr>
            <w:tcW w:w="163" w:type="dxa"/>
            <w:tcBorders>
              <w:top w:val="nil"/>
              <w:left w:val="nil"/>
              <w:right w:val="nil"/>
            </w:tcBorders>
          </w:tcPr>
          <w:p w14:paraId="63DB0B3E"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4" w:space="0" w:color="auto"/>
              <w:right w:val="nil"/>
            </w:tcBorders>
          </w:tcPr>
          <w:p w14:paraId="654B36B1" w14:textId="5DD24278" w:rsidR="00EE6765" w:rsidRPr="00715A0E" w:rsidRDefault="00EE6765" w:rsidP="00C431A7">
            <w:pPr>
              <w:spacing w:line="240" w:lineRule="auto"/>
              <w:jc w:val="right"/>
              <w:rPr>
                <w:rFonts w:ascii="Calibri" w:eastAsia="Times New Roman" w:hAnsi="Calibri" w:cs="Calibri"/>
                <w:sz w:val="12"/>
                <w:szCs w:val="12"/>
              </w:rPr>
            </w:pPr>
            <w:r>
              <w:rPr>
                <w:rFonts w:ascii="Calibri" w:hAnsi="Calibri"/>
                <w:color w:val="00B050"/>
                <w:sz w:val="12"/>
              </w:rPr>
              <w:t>15.0</w:t>
            </w:r>
          </w:p>
        </w:tc>
        <w:tc>
          <w:tcPr>
            <w:tcW w:w="164" w:type="dxa"/>
            <w:tcBorders>
              <w:top w:val="nil"/>
              <w:left w:val="nil"/>
              <w:right w:val="nil"/>
            </w:tcBorders>
          </w:tcPr>
          <w:p w14:paraId="117E1718"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nil"/>
              <w:left w:val="nil"/>
              <w:bottom w:val="single" w:sz="4" w:space="0" w:color="auto"/>
              <w:right w:val="nil"/>
            </w:tcBorders>
          </w:tcPr>
          <w:p w14:paraId="2D48B1B0" w14:textId="577222D1"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14,0</w:t>
            </w:r>
          </w:p>
        </w:tc>
        <w:tc>
          <w:tcPr>
            <w:tcW w:w="164" w:type="dxa"/>
            <w:tcBorders>
              <w:top w:val="nil"/>
              <w:left w:val="nil"/>
              <w:right w:val="nil"/>
            </w:tcBorders>
          </w:tcPr>
          <w:p w14:paraId="58D568BB"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nil"/>
              <w:left w:val="nil"/>
              <w:bottom w:val="single" w:sz="4" w:space="0" w:color="auto"/>
              <w:right w:val="nil"/>
            </w:tcBorders>
          </w:tcPr>
          <w:p w14:paraId="0E1FA5D4"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r>
      <w:tr w:rsidR="00EE6765" w:rsidRPr="00715A0E" w14:paraId="756CD18F" w14:textId="77777777" w:rsidTr="00C431A7">
        <w:trPr>
          <w:trHeight w:val="300"/>
        </w:trPr>
        <w:tc>
          <w:tcPr>
            <w:tcW w:w="1984" w:type="dxa"/>
            <w:tcBorders>
              <w:top w:val="single" w:sz="4" w:space="0" w:color="auto"/>
              <w:left w:val="nil"/>
              <w:bottom w:val="single" w:sz="8" w:space="0" w:color="878787" w:themeColor="accent1"/>
              <w:right w:val="nil"/>
            </w:tcBorders>
            <w:vAlign w:val="center"/>
          </w:tcPr>
          <w:p w14:paraId="1181D6F2" w14:textId="77777777" w:rsidR="00591579" w:rsidRDefault="00591579" w:rsidP="00C431A7">
            <w:pPr>
              <w:spacing w:line="240" w:lineRule="auto"/>
              <w:rPr>
                <w:rFonts w:ascii="Calibri" w:hAnsi="Calibri"/>
                <w:b/>
                <w:sz w:val="14"/>
              </w:rPr>
            </w:pPr>
          </w:p>
          <w:p w14:paraId="231FB42E" w14:textId="004C7DC6" w:rsidR="00EE6765" w:rsidRPr="00715A0E" w:rsidRDefault="00EE6765" w:rsidP="00C431A7">
            <w:pPr>
              <w:spacing w:line="240" w:lineRule="auto"/>
              <w:rPr>
                <w:rFonts w:ascii="Calibri" w:eastAsia="Times New Roman" w:hAnsi="Calibri" w:cs="Calibri"/>
                <w:sz w:val="12"/>
                <w:szCs w:val="12"/>
              </w:rPr>
            </w:pPr>
            <w:proofErr w:type="spellStart"/>
            <w:r>
              <w:rPr>
                <w:rFonts w:ascii="Calibri" w:hAnsi="Calibri"/>
                <w:b/>
                <w:sz w:val="14"/>
              </w:rPr>
              <w:t>Bearings</w:t>
            </w:r>
            <w:proofErr w:type="spellEnd"/>
            <w:r>
              <w:rPr>
                <w:rFonts w:ascii="Calibri" w:hAnsi="Calibri"/>
                <w:b/>
                <w:sz w:val="14"/>
              </w:rPr>
              <w:t xml:space="preserve"> &amp; Industrial Solutions</w:t>
            </w:r>
          </w:p>
        </w:tc>
        <w:tc>
          <w:tcPr>
            <w:tcW w:w="163" w:type="dxa"/>
            <w:tcBorders>
              <w:top w:val="nil"/>
              <w:left w:val="nil"/>
              <w:right w:val="nil"/>
            </w:tcBorders>
            <w:noWrap/>
            <w:vAlign w:val="bottom"/>
          </w:tcPr>
          <w:p w14:paraId="12500D46"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single" w:sz="4" w:space="0" w:color="auto"/>
              <w:left w:val="nil"/>
              <w:right w:val="nil"/>
            </w:tcBorders>
            <w:noWrap/>
            <w:vAlign w:val="center"/>
          </w:tcPr>
          <w:p w14:paraId="2419F1A0"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162" w:type="dxa"/>
            <w:tcBorders>
              <w:top w:val="nil"/>
              <w:left w:val="nil"/>
              <w:right w:val="nil"/>
            </w:tcBorders>
            <w:noWrap/>
            <w:vAlign w:val="bottom"/>
          </w:tcPr>
          <w:p w14:paraId="12574DA3"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single" w:sz="4" w:space="0" w:color="auto"/>
              <w:left w:val="nil"/>
              <w:right w:val="nil"/>
            </w:tcBorders>
            <w:noWrap/>
            <w:vAlign w:val="center"/>
          </w:tcPr>
          <w:p w14:paraId="3A4A16C5"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1" w:type="dxa"/>
            <w:tcBorders>
              <w:left w:val="nil"/>
              <w:right w:val="nil"/>
            </w:tcBorders>
          </w:tcPr>
          <w:p w14:paraId="47585204"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single" w:sz="4" w:space="0" w:color="auto"/>
              <w:left w:val="nil"/>
              <w:right w:val="nil"/>
            </w:tcBorders>
          </w:tcPr>
          <w:p w14:paraId="224F441D"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3" w:type="dxa"/>
            <w:tcBorders>
              <w:left w:val="nil"/>
              <w:right w:val="nil"/>
            </w:tcBorders>
          </w:tcPr>
          <w:p w14:paraId="55F4CC26"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single" w:sz="4" w:space="0" w:color="auto"/>
              <w:left w:val="nil"/>
              <w:right w:val="nil"/>
            </w:tcBorders>
          </w:tcPr>
          <w:p w14:paraId="2B48AFD0"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left w:val="nil"/>
              <w:right w:val="nil"/>
            </w:tcBorders>
          </w:tcPr>
          <w:p w14:paraId="1E8D8885"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single" w:sz="4" w:space="0" w:color="auto"/>
              <w:left w:val="nil"/>
              <w:right w:val="nil"/>
            </w:tcBorders>
          </w:tcPr>
          <w:p w14:paraId="36BB1482"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left w:val="nil"/>
              <w:right w:val="nil"/>
            </w:tcBorders>
          </w:tcPr>
          <w:p w14:paraId="420E8FED"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single" w:sz="4" w:space="0" w:color="auto"/>
              <w:left w:val="nil"/>
              <w:right w:val="nil"/>
            </w:tcBorders>
          </w:tcPr>
          <w:p w14:paraId="43B442A0" w14:textId="77777777" w:rsidR="00EE6765" w:rsidRPr="00715A0E" w:rsidRDefault="00EE6765" w:rsidP="00C431A7">
            <w:pPr>
              <w:spacing w:line="240" w:lineRule="auto"/>
              <w:jc w:val="right"/>
              <w:rPr>
                <w:rFonts w:ascii="Calibri" w:eastAsia="Times New Roman" w:hAnsi="Calibri" w:cs="Calibri"/>
                <w:sz w:val="12"/>
                <w:szCs w:val="12"/>
                <w:lang w:eastAsia="de-DE"/>
              </w:rPr>
            </w:pPr>
          </w:p>
        </w:tc>
      </w:tr>
      <w:tr w:rsidR="00EE6765" w:rsidRPr="00715A0E" w14:paraId="4044A8BA" w14:textId="77777777" w:rsidTr="00C431A7">
        <w:trPr>
          <w:trHeight w:val="300"/>
        </w:trPr>
        <w:tc>
          <w:tcPr>
            <w:tcW w:w="1984" w:type="dxa"/>
            <w:tcBorders>
              <w:top w:val="single" w:sz="8" w:space="0" w:color="878787" w:themeColor="accent1"/>
              <w:left w:val="nil"/>
              <w:bottom w:val="single" w:sz="8" w:space="0" w:color="878787" w:themeColor="accent1"/>
              <w:right w:val="nil"/>
            </w:tcBorders>
            <w:vAlign w:val="center"/>
          </w:tcPr>
          <w:p w14:paraId="6AB04831" w14:textId="77777777" w:rsidR="00EE6765" w:rsidRPr="00715A0E" w:rsidRDefault="00EE6765" w:rsidP="00C431A7">
            <w:pPr>
              <w:spacing w:line="240" w:lineRule="auto"/>
              <w:rPr>
                <w:rFonts w:ascii="Calibri" w:eastAsia="Times New Roman" w:hAnsi="Calibri" w:cs="Calibri"/>
                <w:b/>
                <w:bCs/>
                <w:sz w:val="14"/>
                <w:szCs w:val="14"/>
              </w:rPr>
            </w:pPr>
            <w:r>
              <w:rPr>
                <w:rFonts w:ascii="Calibri" w:hAnsi="Calibri"/>
                <w:sz w:val="14"/>
              </w:rPr>
              <w:t>Fatturato</w:t>
            </w:r>
          </w:p>
        </w:tc>
        <w:tc>
          <w:tcPr>
            <w:tcW w:w="163" w:type="dxa"/>
            <w:tcBorders>
              <w:top w:val="nil"/>
              <w:left w:val="nil"/>
              <w:right w:val="nil"/>
            </w:tcBorders>
            <w:noWrap/>
            <w:vAlign w:val="bottom"/>
          </w:tcPr>
          <w:p w14:paraId="07CE79B6"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left w:val="nil"/>
              <w:bottom w:val="single" w:sz="8" w:space="0" w:color="878787" w:themeColor="accent1"/>
              <w:right w:val="nil"/>
            </w:tcBorders>
            <w:noWrap/>
            <w:vAlign w:val="center"/>
          </w:tcPr>
          <w:p w14:paraId="172002E7" w14:textId="77FE3E92"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3.181</w:t>
            </w:r>
          </w:p>
        </w:tc>
        <w:tc>
          <w:tcPr>
            <w:tcW w:w="162" w:type="dxa"/>
            <w:tcBorders>
              <w:left w:val="nil"/>
              <w:right w:val="nil"/>
            </w:tcBorders>
            <w:noWrap/>
            <w:vAlign w:val="bottom"/>
          </w:tcPr>
          <w:p w14:paraId="421C0BD8"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nil"/>
              <w:left w:val="nil"/>
              <w:bottom w:val="single" w:sz="8" w:space="0" w:color="878787" w:themeColor="accent1"/>
              <w:right w:val="nil"/>
            </w:tcBorders>
            <w:noWrap/>
            <w:vAlign w:val="center"/>
          </w:tcPr>
          <w:p w14:paraId="48FF3296" w14:textId="56130C8C"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3.237</w:t>
            </w:r>
          </w:p>
        </w:tc>
        <w:tc>
          <w:tcPr>
            <w:tcW w:w="161" w:type="dxa"/>
            <w:tcBorders>
              <w:top w:val="nil"/>
              <w:left w:val="nil"/>
              <w:right w:val="nil"/>
            </w:tcBorders>
          </w:tcPr>
          <w:p w14:paraId="01448B86"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878787" w:themeColor="accent1"/>
              <w:right w:val="nil"/>
            </w:tcBorders>
          </w:tcPr>
          <w:p w14:paraId="3DA93DCA" w14:textId="4DF0E511"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-1,7</w:t>
            </w:r>
          </w:p>
        </w:tc>
        <w:tc>
          <w:tcPr>
            <w:tcW w:w="163" w:type="dxa"/>
            <w:tcBorders>
              <w:top w:val="nil"/>
              <w:left w:val="nil"/>
              <w:right w:val="nil"/>
            </w:tcBorders>
          </w:tcPr>
          <w:p w14:paraId="20B44B5F"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878787" w:themeColor="accent1"/>
              <w:right w:val="nil"/>
            </w:tcBorders>
          </w:tcPr>
          <w:p w14:paraId="3FBC4A69" w14:textId="00F04845" w:rsidR="00EE6765" w:rsidRPr="00715A0E" w:rsidRDefault="00EE6765" w:rsidP="00C431A7">
            <w:pPr>
              <w:spacing w:line="240" w:lineRule="auto"/>
              <w:jc w:val="right"/>
              <w:rPr>
                <w:rFonts w:ascii="Calibri" w:eastAsia="Times New Roman" w:hAnsi="Calibri" w:cs="Calibri"/>
                <w:color w:val="00B050"/>
                <w:sz w:val="14"/>
                <w:szCs w:val="14"/>
              </w:rPr>
            </w:pPr>
            <w:r>
              <w:rPr>
                <w:rFonts w:ascii="Calibri" w:hAnsi="Calibri"/>
                <w:color w:val="00B050"/>
                <w:sz w:val="14"/>
              </w:rPr>
              <w:t>1.608</w:t>
            </w:r>
          </w:p>
        </w:tc>
        <w:tc>
          <w:tcPr>
            <w:tcW w:w="164" w:type="dxa"/>
            <w:tcBorders>
              <w:top w:val="nil"/>
              <w:left w:val="nil"/>
              <w:right w:val="nil"/>
            </w:tcBorders>
          </w:tcPr>
          <w:p w14:paraId="357F8240"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nil"/>
              <w:left w:val="nil"/>
              <w:bottom w:val="single" w:sz="8" w:space="0" w:color="878787" w:themeColor="accent1"/>
              <w:right w:val="nil"/>
            </w:tcBorders>
          </w:tcPr>
          <w:p w14:paraId="77B49E7F" w14:textId="2283DF0C"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1.612</w:t>
            </w:r>
          </w:p>
        </w:tc>
        <w:tc>
          <w:tcPr>
            <w:tcW w:w="164" w:type="dxa"/>
            <w:tcBorders>
              <w:top w:val="nil"/>
              <w:left w:val="nil"/>
              <w:right w:val="nil"/>
            </w:tcBorders>
          </w:tcPr>
          <w:p w14:paraId="673178C1"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nil"/>
              <w:left w:val="nil"/>
              <w:bottom w:val="single" w:sz="8" w:space="0" w:color="878787" w:themeColor="accent1"/>
              <w:right w:val="nil"/>
            </w:tcBorders>
          </w:tcPr>
          <w:p w14:paraId="6FF25F73" w14:textId="36AC8215" w:rsidR="00EE6765" w:rsidRPr="00715A0E" w:rsidRDefault="00EE6765" w:rsidP="00C431A7">
            <w:pPr>
              <w:spacing w:line="240" w:lineRule="auto"/>
              <w:jc w:val="right"/>
              <w:rPr>
                <w:rFonts w:ascii="Calibri" w:eastAsia="Times New Roman" w:hAnsi="Calibri" w:cs="Calibri"/>
                <w:sz w:val="14"/>
                <w:szCs w:val="14"/>
              </w:rPr>
            </w:pPr>
            <w:r>
              <w:rPr>
                <w:rFonts w:ascii="Calibri" w:hAnsi="Calibri"/>
                <w:sz w:val="14"/>
              </w:rPr>
              <w:t>-0,3</w:t>
            </w:r>
          </w:p>
        </w:tc>
      </w:tr>
      <w:tr w:rsidR="00EE6765" w:rsidRPr="00715A0E" w14:paraId="0B840B44" w14:textId="77777777" w:rsidTr="00C431A7">
        <w:trPr>
          <w:trHeight w:val="300"/>
        </w:trPr>
        <w:tc>
          <w:tcPr>
            <w:tcW w:w="1984" w:type="dxa"/>
            <w:tcBorders>
              <w:top w:val="single" w:sz="8" w:space="0" w:color="878787" w:themeColor="accent1"/>
              <w:left w:val="nil"/>
              <w:bottom w:val="single" w:sz="8" w:space="0" w:color="878787" w:themeColor="accent1"/>
              <w:right w:val="nil"/>
            </w:tcBorders>
            <w:vAlign w:val="center"/>
          </w:tcPr>
          <w:p w14:paraId="2509BB6B"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2"/>
              </w:rPr>
              <w:t>•</w:t>
            </w:r>
            <w:r>
              <w:rPr>
                <w:rFonts w:ascii="Calibri" w:hAnsi="Calibri"/>
                <w:sz w:val="14"/>
              </w:rPr>
              <w:t xml:space="preserve"> </w:t>
            </w:r>
            <w:r>
              <w:rPr>
                <w:rFonts w:ascii="Calibri" w:hAnsi="Calibri"/>
                <w:sz w:val="12"/>
              </w:rPr>
              <w:t>a valuta costante</w:t>
            </w:r>
          </w:p>
        </w:tc>
        <w:tc>
          <w:tcPr>
            <w:tcW w:w="163" w:type="dxa"/>
            <w:tcBorders>
              <w:top w:val="nil"/>
              <w:left w:val="nil"/>
              <w:right w:val="nil"/>
            </w:tcBorders>
            <w:noWrap/>
            <w:vAlign w:val="bottom"/>
          </w:tcPr>
          <w:p w14:paraId="0167B52B"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single" w:sz="8" w:space="0" w:color="878787" w:themeColor="accent1"/>
              <w:left w:val="nil"/>
              <w:bottom w:val="single" w:sz="8" w:space="0" w:color="878787" w:themeColor="accent1"/>
              <w:right w:val="nil"/>
            </w:tcBorders>
            <w:noWrap/>
            <w:vAlign w:val="center"/>
          </w:tcPr>
          <w:p w14:paraId="029DD611"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162" w:type="dxa"/>
            <w:tcBorders>
              <w:top w:val="nil"/>
              <w:left w:val="nil"/>
              <w:right w:val="nil"/>
            </w:tcBorders>
            <w:noWrap/>
            <w:vAlign w:val="bottom"/>
          </w:tcPr>
          <w:p w14:paraId="7C29FA6D"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single" w:sz="8" w:space="0" w:color="878787" w:themeColor="accent1"/>
              <w:left w:val="nil"/>
              <w:bottom w:val="single" w:sz="8" w:space="0" w:color="878787" w:themeColor="accent1"/>
              <w:right w:val="nil"/>
            </w:tcBorders>
            <w:noWrap/>
            <w:vAlign w:val="center"/>
          </w:tcPr>
          <w:p w14:paraId="71793266"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1" w:type="dxa"/>
            <w:tcBorders>
              <w:left w:val="nil"/>
              <w:right w:val="nil"/>
            </w:tcBorders>
          </w:tcPr>
          <w:p w14:paraId="518F5BE1"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single" w:sz="8" w:space="0" w:color="878787" w:themeColor="accent1"/>
              <w:left w:val="nil"/>
              <w:bottom w:val="single" w:sz="8" w:space="0" w:color="878787" w:themeColor="accent1"/>
              <w:right w:val="nil"/>
            </w:tcBorders>
          </w:tcPr>
          <w:p w14:paraId="03C4A514" w14:textId="10A0DB2D"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1,0</w:t>
            </w:r>
          </w:p>
        </w:tc>
        <w:tc>
          <w:tcPr>
            <w:tcW w:w="163" w:type="dxa"/>
            <w:tcBorders>
              <w:left w:val="nil"/>
              <w:right w:val="nil"/>
            </w:tcBorders>
          </w:tcPr>
          <w:p w14:paraId="29FD97AE"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single" w:sz="8" w:space="0" w:color="878787" w:themeColor="accent1"/>
              <w:left w:val="nil"/>
              <w:bottom w:val="single" w:sz="8" w:space="0" w:color="878787" w:themeColor="accent1"/>
              <w:right w:val="nil"/>
            </w:tcBorders>
          </w:tcPr>
          <w:p w14:paraId="00B0B685"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left w:val="nil"/>
              <w:right w:val="nil"/>
            </w:tcBorders>
          </w:tcPr>
          <w:p w14:paraId="1656CAA9"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single" w:sz="8" w:space="0" w:color="878787" w:themeColor="accent1"/>
              <w:left w:val="nil"/>
              <w:bottom w:val="single" w:sz="8" w:space="0" w:color="878787" w:themeColor="accent1"/>
              <w:right w:val="nil"/>
            </w:tcBorders>
          </w:tcPr>
          <w:p w14:paraId="1AA96DAB"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64" w:type="dxa"/>
            <w:tcBorders>
              <w:left w:val="nil"/>
              <w:right w:val="nil"/>
            </w:tcBorders>
          </w:tcPr>
          <w:p w14:paraId="70E107E8"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single" w:sz="8" w:space="0" w:color="878787" w:themeColor="accent1"/>
              <w:left w:val="nil"/>
              <w:bottom w:val="single" w:sz="8" w:space="0" w:color="878787" w:themeColor="accent1"/>
              <w:right w:val="nil"/>
            </w:tcBorders>
          </w:tcPr>
          <w:p w14:paraId="03F93C1E" w14:textId="6902F2F6" w:rsidR="00EE6765" w:rsidRPr="00715A0E" w:rsidRDefault="00CD2263" w:rsidP="00C431A7">
            <w:pPr>
              <w:spacing w:line="240" w:lineRule="auto"/>
              <w:jc w:val="right"/>
              <w:rPr>
                <w:rFonts w:ascii="Calibri" w:eastAsia="Times New Roman" w:hAnsi="Calibri" w:cs="Calibri"/>
                <w:sz w:val="12"/>
                <w:szCs w:val="12"/>
              </w:rPr>
            </w:pPr>
            <w:r>
              <w:rPr>
                <w:rFonts w:ascii="Calibri" w:hAnsi="Calibri"/>
                <w:sz w:val="12"/>
              </w:rPr>
              <w:t>0,4</w:t>
            </w:r>
          </w:p>
        </w:tc>
      </w:tr>
      <w:tr w:rsidR="00EE6765" w:rsidRPr="00715A0E" w14:paraId="3111E047" w14:textId="77777777" w:rsidTr="00C431A7">
        <w:trPr>
          <w:trHeight w:val="300"/>
        </w:trPr>
        <w:tc>
          <w:tcPr>
            <w:tcW w:w="1984" w:type="dxa"/>
            <w:tcBorders>
              <w:top w:val="single" w:sz="8" w:space="0" w:color="878787" w:themeColor="accent1"/>
              <w:left w:val="nil"/>
              <w:bottom w:val="single" w:sz="8" w:space="0" w:color="878787" w:themeColor="accent1"/>
              <w:right w:val="nil"/>
            </w:tcBorders>
            <w:vAlign w:val="center"/>
          </w:tcPr>
          <w:p w14:paraId="63B0E44D" w14:textId="77777777" w:rsidR="00EE6765" w:rsidRPr="00715A0E" w:rsidRDefault="00EE6765" w:rsidP="00C431A7">
            <w:pPr>
              <w:spacing w:line="240" w:lineRule="auto"/>
              <w:rPr>
                <w:rFonts w:ascii="Calibri" w:eastAsia="Times New Roman" w:hAnsi="Calibri" w:cs="Calibri"/>
                <w:sz w:val="12"/>
                <w:szCs w:val="12"/>
              </w:rPr>
            </w:pPr>
            <w:r>
              <w:rPr>
                <w:rFonts w:ascii="Calibri" w:hAnsi="Calibri"/>
                <w:sz w:val="14"/>
              </w:rPr>
              <w:t>EBIT prima di operazioni straordinarie</w:t>
            </w:r>
            <w:r>
              <w:rPr>
                <w:rFonts w:ascii="Calibri" w:hAnsi="Calibri"/>
                <w:sz w:val="14"/>
                <w:vertAlign w:val="superscript"/>
              </w:rPr>
              <w:t>1</w:t>
            </w:r>
          </w:p>
        </w:tc>
        <w:tc>
          <w:tcPr>
            <w:tcW w:w="163" w:type="dxa"/>
            <w:tcBorders>
              <w:top w:val="nil"/>
              <w:left w:val="nil"/>
              <w:right w:val="nil"/>
            </w:tcBorders>
            <w:noWrap/>
            <w:vAlign w:val="bottom"/>
          </w:tcPr>
          <w:p w14:paraId="14334B72"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single" w:sz="8" w:space="0" w:color="878787" w:themeColor="accent1"/>
              <w:left w:val="nil"/>
              <w:bottom w:val="single" w:sz="8" w:space="0" w:color="878787" w:themeColor="accent1"/>
              <w:right w:val="nil"/>
            </w:tcBorders>
            <w:noWrap/>
            <w:vAlign w:val="center"/>
          </w:tcPr>
          <w:p w14:paraId="0EE2165B" w14:textId="2D70B378" w:rsidR="00EE6765" w:rsidRPr="00715A0E" w:rsidRDefault="00CD2263" w:rsidP="00C431A7">
            <w:pPr>
              <w:spacing w:line="240" w:lineRule="auto"/>
              <w:jc w:val="right"/>
              <w:rPr>
                <w:rFonts w:ascii="Calibri" w:eastAsia="Times New Roman" w:hAnsi="Calibri" w:cs="Calibri"/>
                <w:color w:val="00B050"/>
                <w:sz w:val="14"/>
                <w:szCs w:val="14"/>
              </w:rPr>
            </w:pPr>
            <w:r>
              <w:rPr>
                <w:rFonts w:ascii="Calibri" w:hAnsi="Calibri"/>
                <w:color w:val="00B050"/>
                <w:sz w:val="14"/>
              </w:rPr>
              <w:t>286</w:t>
            </w:r>
          </w:p>
        </w:tc>
        <w:tc>
          <w:tcPr>
            <w:tcW w:w="162" w:type="dxa"/>
            <w:tcBorders>
              <w:left w:val="nil"/>
              <w:right w:val="nil"/>
            </w:tcBorders>
            <w:noWrap/>
            <w:vAlign w:val="bottom"/>
          </w:tcPr>
          <w:p w14:paraId="12804E8B"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single" w:sz="8" w:space="0" w:color="878787" w:themeColor="accent1"/>
              <w:left w:val="nil"/>
              <w:bottom w:val="single" w:sz="8" w:space="0" w:color="878787" w:themeColor="accent1"/>
              <w:right w:val="nil"/>
            </w:tcBorders>
            <w:noWrap/>
            <w:vAlign w:val="center"/>
          </w:tcPr>
          <w:p w14:paraId="5F51E7C9" w14:textId="3DB96F73"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251</w:t>
            </w:r>
          </w:p>
        </w:tc>
        <w:tc>
          <w:tcPr>
            <w:tcW w:w="161" w:type="dxa"/>
            <w:tcBorders>
              <w:left w:val="nil"/>
              <w:right w:val="nil"/>
            </w:tcBorders>
          </w:tcPr>
          <w:p w14:paraId="6435FA2F"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single" w:sz="8" w:space="0" w:color="878787" w:themeColor="accent1"/>
              <w:left w:val="nil"/>
              <w:bottom w:val="single" w:sz="8" w:space="0" w:color="878787" w:themeColor="accent1"/>
              <w:right w:val="nil"/>
            </w:tcBorders>
          </w:tcPr>
          <w:p w14:paraId="05CBDA0F" w14:textId="138C5CB0"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13,9</w:t>
            </w:r>
          </w:p>
        </w:tc>
        <w:tc>
          <w:tcPr>
            <w:tcW w:w="163" w:type="dxa"/>
            <w:tcBorders>
              <w:left w:val="nil"/>
              <w:right w:val="nil"/>
            </w:tcBorders>
          </w:tcPr>
          <w:p w14:paraId="78792406"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single" w:sz="8" w:space="0" w:color="878787" w:themeColor="accent1"/>
              <w:left w:val="nil"/>
              <w:bottom w:val="single" w:sz="8" w:space="0" w:color="878787" w:themeColor="accent1"/>
              <w:right w:val="nil"/>
            </w:tcBorders>
          </w:tcPr>
          <w:p w14:paraId="5A67EB52" w14:textId="6326CCD5" w:rsidR="00EE6765" w:rsidRPr="00715A0E" w:rsidRDefault="00CD2263" w:rsidP="00C431A7">
            <w:pPr>
              <w:spacing w:line="240" w:lineRule="auto"/>
              <w:jc w:val="right"/>
              <w:rPr>
                <w:rFonts w:ascii="Calibri" w:eastAsia="Times New Roman" w:hAnsi="Calibri" w:cs="Calibri"/>
                <w:color w:val="00B050"/>
                <w:sz w:val="14"/>
                <w:szCs w:val="14"/>
              </w:rPr>
            </w:pPr>
            <w:r>
              <w:rPr>
                <w:rFonts w:ascii="Calibri" w:hAnsi="Calibri"/>
                <w:color w:val="00B050"/>
                <w:sz w:val="14"/>
              </w:rPr>
              <w:t>144</w:t>
            </w:r>
          </w:p>
        </w:tc>
        <w:tc>
          <w:tcPr>
            <w:tcW w:w="164" w:type="dxa"/>
            <w:tcBorders>
              <w:left w:val="nil"/>
              <w:right w:val="nil"/>
            </w:tcBorders>
          </w:tcPr>
          <w:p w14:paraId="5FBB8D6B"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794" w:type="dxa"/>
            <w:tcBorders>
              <w:top w:val="single" w:sz="8" w:space="0" w:color="878787" w:themeColor="accent1"/>
              <w:left w:val="nil"/>
              <w:bottom w:val="single" w:sz="8" w:space="0" w:color="878787" w:themeColor="accent1"/>
              <w:right w:val="nil"/>
            </w:tcBorders>
          </w:tcPr>
          <w:p w14:paraId="392D198A" w14:textId="05B59782"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89</w:t>
            </w:r>
          </w:p>
        </w:tc>
        <w:tc>
          <w:tcPr>
            <w:tcW w:w="164" w:type="dxa"/>
            <w:tcBorders>
              <w:left w:val="nil"/>
              <w:right w:val="nil"/>
            </w:tcBorders>
          </w:tcPr>
          <w:p w14:paraId="12398A8B" w14:textId="77777777" w:rsidR="00EE6765" w:rsidRPr="00715A0E" w:rsidRDefault="00EE6765" w:rsidP="00C431A7">
            <w:pPr>
              <w:spacing w:line="240" w:lineRule="auto"/>
              <w:jc w:val="right"/>
              <w:rPr>
                <w:rFonts w:ascii="Calibri" w:eastAsia="Times New Roman" w:hAnsi="Calibri" w:cs="Calibri"/>
                <w:sz w:val="14"/>
                <w:szCs w:val="14"/>
                <w:lang w:eastAsia="de-DE"/>
              </w:rPr>
            </w:pPr>
          </w:p>
        </w:tc>
        <w:tc>
          <w:tcPr>
            <w:tcW w:w="1020" w:type="dxa"/>
            <w:tcBorders>
              <w:top w:val="single" w:sz="8" w:space="0" w:color="878787" w:themeColor="accent1"/>
              <w:left w:val="nil"/>
              <w:bottom w:val="single" w:sz="8" w:space="0" w:color="878787" w:themeColor="accent1"/>
              <w:right w:val="nil"/>
            </w:tcBorders>
          </w:tcPr>
          <w:p w14:paraId="4484ADF1" w14:textId="2E40AAA7" w:rsidR="00EE6765" w:rsidRPr="00715A0E" w:rsidRDefault="00CD2263" w:rsidP="00C431A7">
            <w:pPr>
              <w:spacing w:line="240" w:lineRule="auto"/>
              <w:jc w:val="right"/>
              <w:rPr>
                <w:rFonts w:ascii="Calibri" w:eastAsia="Times New Roman" w:hAnsi="Calibri" w:cs="Calibri"/>
                <w:sz w:val="14"/>
                <w:szCs w:val="14"/>
              </w:rPr>
            </w:pPr>
            <w:r>
              <w:rPr>
                <w:rFonts w:ascii="Calibri" w:hAnsi="Calibri"/>
                <w:sz w:val="14"/>
              </w:rPr>
              <w:t>62,1</w:t>
            </w:r>
          </w:p>
        </w:tc>
      </w:tr>
      <w:tr w:rsidR="00EE6765" w:rsidRPr="00715A0E" w14:paraId="349B6E4F" w14:textId="77777777" w:rsidTr="00C431A7">
        <w:trPr>
          <w:trHeight w:val="300"/>
        </w:trPr>
        <w:tc>
          <w:tcPr>
            <w:tcW w:w="1984" w:type="dxa"/>
            <w:tcBorders>
              <w:top w:val="single" w:sz="8" w:space="0" w:color="878787" w:themeColor="accent1"/>
              <w:left w:val="nil"/>
              <w:bottom w:val="single" w:sz="4" w:space="0" w:color="auto"/>
              <w:right w:val="nil"/>
            </w:tcBorders>
            <w:vAlign w:val="center"/>
          </w:tcPr>
          <w:p w14:paraId="15D5C296" w14:textId="77777777" w:rsidR="00EE6765" w:rsidRPr="00715A0E" w:rsidRDefault="00EE6765" w:rsidP="00C431A7">
            <w:pPr>
              <w:spacing w:line="240" w:lineRule="auto"/>
              <w:rPr>
                <w:rFonts w:ascii="Calibri" w:eastAsia="Times New Roman" w:hAnsi="Calibri" w:cs="Calibri"/>
                <w:sz w:val="14"/>
                <w:szCs w:val="14"/>
              </w:rPr>
            </w:pPr>
            <w:r>
              <w:rPr>
                <w:rFonts w:ascii="Calibri" w:hAnsi="Calibri"/>
                <w:sz w:val="12"/>
              </w:rPr>
              <w:t>• in % di fatturato</w:t>
            </w:r>
          </w:p>
        </w:tc>
        <w:tc>
          <w:tcPr>
            <w:tcW w:w="163" w:type="dxa"/>
            <w:tcBorders>
              <w:top w:val="nil"/>
              <w:left w:val="nil"/>
              <w:right w:val="nil"/>
            </w:tcBorders>
            <w:noWrap/>
            <w:vAlign w:val="bottom"/>
          </w:tcPr>
          <w:p w14:paraId="4496B036" w14:textId="77777777" w:rsidR="00EE6765" w:rsidRPr="00715A0E" w:rsidRDefault="00EE6765" w:rsidP="00C431A7">
            <w:pPr>
              <w:spacing w:line="240" w:lineRule="auto"/>
              <w:rPr>
                <w:rFonts w:ascii="Calibri" w:eastAsia="Times New Roman" w:hAnsi="Calibri" w:cs="Calibri"/>
                <w:sz w:val="12"/>
                <w:szCs w:val="12"/>
                <w:lang w:eastAsia="de-DE"/>
              </w:rPr>
            </w:pPr>
          </w:p>
        </w:tc>
        <w:tc>
          <w:tcPr>
            <w:tcW w:w="794" w:type="dxa"/>
            <w:tcBorders>
              <w:top w:val="single" w:sz="8" w:space="0" w:color="878787" w:themeColor="accent1"/>
              <w:left w:val="nil"/>
              <w:bottom w:val="single" w:sz="4" w:space="0" w:color="auto"/>
              <w:right w:val="nil"/>
            </w:tcBorders>
            <w:noWrap/>
            <w:vAlign w:val="center"/>
          </w:tcPr>
          <w:p w14:paraId="63F2D88A" w14:textId="7BEE60F2" w:rsidR="00EE6765" w:rsidRPr="00715A0E" w:rsidRDefault="00CD2263" w:rsidP="00C431A7">
            <w:pPr>
              <w:spacing w:line="240" w:lineRule="auto"/>
              <w:jc w:val="right"/>
              <w:rPr>
                <w:rFonts w:ascii="Calibri" w:eastAsia="Times New Roman" w:hAnsi="Calibri" w:cs="Calibri"/>
                <w:color w:val="00B050"/>
                <w:sz w:val="12"/>
                <w:szCs w:val="12"/>
              </w:rPr>
            </w:pPr>
            <w:r>
              <w:rPr>
                <w:rFonts w:ascii="Calibri" w:hAnsi="Calibri"/>
                <w:color w:val="00B050"/>
                <w:sz w:val="12"/>
              </w:rPr>
              <w:t>9,0</w:t>
            </w:r>
          </w:p>
        </w:tc>
        <w:tc>
          <w:tcPr>
            <w:tcW w:w="162" w:type="dxa"/>
            <w:tcBorders>
              <w:left w:val="nil"/>
              <w:right w:val="nil"/>
            </w:tcBorders>
            <w:noWrap/>
            <w:vAlign w:val="bottom"/>
          </w:tcPr>
          <w:p w14:paraId="766A0690" w14:textId="77777777" w:rsidR="00EE6765" w:rsidRPr="00715A0E" w:rsidRDefault="00EE6765" w:rsidP="00C431A7">
            <w:pPr>
              <w:spacing w:line="240" w:lineRule="auto"/>
              <w:jc w:val="right"/>
              <w:rPr>
                <w:rFonts w:ascii="Calibri" w:eastAsia="Times New Roman" w:hAnsi="Calibri" w:cs="Calibri"/>
                <w:color w:val="00B050"/>
                <w:sz w:val="12"/>
                <w:szCs w:val="12"/>
                <w:lang w:eastAsia="de-DE"/>
              </w:rPr>
            </w:pPr>
          </w:p>
        </w:tc>
        <w:tc>
          <w:tcPr>
            <w:tcW w:w="796" w:type="dxa"/>
            <w:tcBorders>
              <w:top w:val="single" w:sz="8" w:space="0" w:color="878787" w:themeColor="accent1"/>
              <w:left w:val="nil"/>
              <w:bottom w:val="single" w:sz="4" w:space="0" w:color="auto"/>
              <w:right w:val="nil"/>
            </w:tcBorders>
            <w:noWrap/>
            <w:vAlign w:val="center"/>
          </w:tcPr>
          <w:p w14:paraId="5C8AB9BF" w14:textId="5A3C1880"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7,8</w:t>
            </w:r>
          </w:p>
        </w:tc>
        <w:tc>
          <w:tcPr>
            <w:tcW w:w="161" w:type="dxa"/>
            <w:tcBorders>
              <w:left w:val="nil"/>
              <w:right w:val="nil"/>
            </w:tcBorders>
          </w:tcPr>
          <w:p w14:paraId="5104C2E8"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single" w:sz="8" w:space="0" w:color="878787" w:themeColor="accent1"/>
              <w:left w:val="nil"/>
              <w:bottom w:val="single" w:sz="4" w:space="0" w:color="auto"/>
              <w:right w:val="nil"/>
            </w:tcBorders>
          </w:tcPr>
          <w:p w14:paraId="3EB6150C"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c>
          <w:tcPr>
            <w:tcW w:w="163" w:type="dxa"/>
            <w:tcBorders>
              <w:left w:val="nil"/>
              <w:bottom w:val="nil"/>
              <w:right w:val="nil"/>
            </w:tcBorders>
          </w:tcPr>
          <w:p w14:paraId="6A52543C"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single" w:sz="8" w:space="0" w:color="878787" w:themeColor="accent1"/>
              <w:left w:val="nil"/>
              <w:bottom w:val="single" w:sz="4" w:space="0" w:color="auto"/>
              <w:right w:val="nil"/>
            </w:tcBorders>
          </w:tcPr>
          <w:p w14:paraId="73766AB2" w14:textId="375D7878" w:rsidR="00EE6765" w:rsidRPr="00715A0E" w:rsidRDefault="00CD2263" w:rsidP="00C431A7">
            <w:pPr>
              <w:spacing w:line="240" w:lineRule="auto"/>
              <w:jc w:val="right"/>
              <w:rPr>
                <w:rFonts w:ascii="Calibri" w:eastAsia="Times New Roman" w:hAnsi="Calibri" w:cs="Calibri"/>
                <w:color w:val="00B050"/>
                <w:sz w:val="12"/>
                <w:szCs w:val="12"/>
              </w:rPr>
            </w:pPr>
            <w:r>
              <w:rPr>
                <w:rFonts w:ascii="Calibri" w:hAnsi="Calibri"/>
                <w:color w:val="00B050"/>
                <w:sz w:val="12"/>
              </w:rPr>
              <w:t>9,0</w:t>
            </w:r>
          </w:p>
        </w:tc>
        <w:tc>
          <w:tcPr>
            <w:tcW w:w="164" w:type="dxa"/>
            <w:tcBorders>
              <w:left w:val="nil"/>
              <w:bottom w:val="nil"/>
              <w:right w:val="nil"/>
            </w:tcBorders>
          </w:tcPr>
          <w:p w14:paraId="20E813E5"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794" w:type="dxa"/>
            <w:tcBorders>
              <w:top w:val="single" w:sz="8" w:space="0" w:color="878787" w:themeColor="accent1"/>
              <w:left w:val="nil"/>
              <w:bottom w:val="single" w:sz="4" w:space="0" w:color="auto"/>
              <w:right w:val="nil"/>
            </w:tcBorders>
          </w:tcPr>
          <w:p w14:paraId="024FFAF5" w14:textId="0F36C9DB" w:rsidR="00EE6765" w:rsidRPr="00715A0E" w:rsidRDefault="00CD2263" w:rsidP="00C431A7">
            <w:pPr>
              <w:spacing w:line="240" w:lineRule="auto"/>
              <w:jc w:val="right"/>
              <w:rPr>
                <w:rFonts w:ascii="Calibri" w:eastAsia="Times New Roman" w:hAnsi="Calibri" w:cs="Calibri"/>
                <w:sz w:val="12"/>
                <w:szCs w:val="12"/>
              </w:rPr>
            </w:pPr>
            <w:r>
              <w:rPr>
                <w:rFonts w:ascii="Calibri" w:hAnsi="Calibri"/>
                <w:sz w:val="12"/>
              </w:rPr>
              <w:t>5,5</w:t>
            </w:r>
          </w:p>
        </w:tc>
        <w:tc>
          <w:tcPr>
            <w:tcW w:w="164" w:type="dxa"/>
            <w:tcBorders>
              <w:left w:val="nil"/>
              <w:bottom w:val="nil"/>
              <w:right w:val="nil"/>
            </w:tcBorders>
          </w:tcPr>
          <w:p w14:paraId="515B3669" w14:textId="77777777" w:rsidR="00EE6765" w:rsidRPr="00715A0E" w:rsidRDefault="00EE6765" w:rsidP="00C431A7">
            <w:pPr>
              <w:spacing w:line="240" w:lineRule="auto"/>
              <w:jc w:val="right"/>
              <w:rPr>
                <w:rFonts w:ascii="Calibri" w:eastAsia="Times New Roman" w:hAnsi="Calibri" w:cs="Calibri"/>
                <w:sz w:val="12"/>
                <w:szCs w:val="12"/>
                <w:lang w:eastAsia="de-DE"/>
              </w:rPr>
            </w:pPr>
          </w:p>
        </w:tc>
        <w:tc>
          <w:tcPr>
            <w:tcW w:w="1020" w:type="dxa"/>
            <w:tcBorders>
              <w:top w:val="single" w:sz="8" w:space="0" w:color="878787" w:themeColor="accent1"/>
              <w:left w:val="nil"/>
              <w:bottom w:val="single" w:sz="4" w:space="0" w:color="auto"/>
              <w:right w:val="nil"/>
            </w:tcBorders>
          </w:tcPr>
          <w:p w14:paraId="334336D6" w14:textId="77777777" w:rsidR="00EE6765" w:rsidRPr="00715A0E" w:rsidRDefault="00EE6765" w:rsidP="00C431A7">
            <w:pPr>
              <w:spacing w:line="240" w:lineRule="auto"/>
              <w:jc w:val="right"/>
              <w:rPr>
                <w:rFonts w:ascii="Calibri" w:eastAsia="Times New Roman" w:hAnsi="Calibri" w:cs="Calibri"/>
                <w:sz w:val="12"/>
                <w:szCs w:val="12"/>
              </w:rPr>
            </w:pPr>
            <w:r>
              <w:rPr>
                <w:rFonts w:ascii="Calibri" w:hAnsi="Calibri"/>
                <w:sz w:val="12"/>
              </w:rPr>
              <w:t>-</w:t>
            </w:r>
          </w:p>
        </w:tc>
      </w:tr>
      <w:tr w:rsidR="00EE6765" w:rsidRPr="00715A0E" w14:paraId="3B9303A9" w14:textId="77777777" w:rsidTr="00C431A7">
        <w:trPr>
          <w:trHeight w:val="300"/>
        </w:trPr>
        <w:tc>
          <w:tcPr>
            <w:tcW w:w="8179" w:type="dxa"/>
            <w:gridSpan w:val="13"/>
            <w:tcBorders>
              <w:left w:val="nil"/>
              <w:bottom w:val="nil"/>
              <w:right w:val="nil"/>
            </w:tcBorders>
          </w:tcPr>
          <w:p w14:paraId="49E399E0" w14:textId="6E728BD7" w:rsidR="00EE6765" w:rsidRPr="000A11AC" w:rsidRDefault="00EE6765" w:rsidP="000A11AC">
            <w:pPr>
              <w:spacing w:line="240" w:lineRule="auto"/>
              <w:rPr>
                <w:rFonts w:ascii="Calibri" w:eastAsia="Times New Roman" w:hAnsi="Calibri" w:cs="Calibri"/>
                <w:sz w:val="12"/>
                <w:szCs w:val="12"/>
              </w:rPr>
            </w:pPr>
            <w:r>
              <w:rPr>
                <w:rFonts w:ascii="Calibri" w:hAnsi="Calibri"/>
                <w:sz w:val="12"/>
              </w:rPr>
              <w:t xml:space="preserve">Le informazioni aggiuntive relative al </w:t>
            </w:r>
            <w:proofErr w:type="gramStart"/>
            <w:r>
              <w:rPr>
                <w:rFonts w:ascii="Calibri" w:hAnsi="Calibri"/>
                <w:sz w:val="12"/>
              </w:rPr>
              <w:t>2</w:t>
            </w:r>
            <w:r>
              <w:rPr>
                <w:rFonts w:ascii="Calibri" w:hAnsi="Calibri"/>
                <w:sz w:val="12"/>
                <w:vertAlign w:val="superscript"/>
              </w:rPr>
              <w:t>o</w:t>
            </w:r>
            <w:proofErr w:type="gramEnd"/>
            <w:r>
              <w:rPr>
                <w:rFonts w:ascii="Calibri" w:hAnsi="Calibri"/>
                <w:sz w:val="12"/>
              </w:rPr>
              <w:t xml:space="preserve"> trimestre non hanno fatto parte della revisione contabile. </w:t>
            </w:r>
            <w:r>
              <w:rPr>
                <w:rFonts w:ascii="Calibri" w:hAnsi="Calibri"/>
                <w:sz w:val="12"/>
              </w:rPr>
              <w:br/>
            </w:r>
            <w:r>
              <w:rPr>
                <w:rFonts w:ascii="Calibri" w:hAnsi="Calibri"/>
                <w:sz w:val="14"/>
                <w:vertAlign w:val="superscript"/>
              </w:rPr>
              <w:t>1)</w:t>
            </w:r>
            <w:r>
              <w:rPr>
                <w:rFonts w:ascii="Calibri" w:hAnsi="Calibri"/>
                <w:sz w:val="14"/>
              </w:rPr>
              <w:t xml:space="preserve"> </w:t>
            </w:r>
            <w:r>
              <w:rPr>
                <w:rFonts w:ascii="Calibri" w:hAnsi="Calibri"/>
                <w:sz w:val="12"/>
              </w:rPr>
              <w:t xml:space="preserve">Per la definizione delle operazioni straordinarie si prega di consultare la relazione finanziaria intermedia del primo semestre 2026, pagg. 15 e sgg. </w:t>
            </w:r>
          </w:p>
        </w:tc>
      </w:tr>
    </w:tbl>
    <w:p w14:paraId="0305D3A6" w14:textId="77777777" w:rsidR="00EE6765" w:rsidRPr="00715A0E" w:rsidRDefault="00EE6765" w:rsidP="00B13126"/>
    <w:p w14:paraId="6775CAD6" w14:textId="67D73333" w:rsidR="00641B00" w:rsidRPr="00715A0E" w:rsidRDefault="00F32013" w:rsidP="001325E7">
      <w:r>
        <w:rPr>
          <w:rStyle w:val="Enfasigrassetto"/>
        </w:rPr>
        <w:t>Free cash flow – Flussi di cassa in uscita per ristrutturazioni e integrazione</w:t>
      </w:r>
      <w:r>
        <w:rPr>
          <w:rStyle w:val="Enfasigrassetto"/>
        </w:rPr>
        <w:br/>
      </w:r>
      <w:r>
        <w:t xml:space="preserve">Il free cash flow del Gruppo Schaeffler prima dei flussi di cassa per attività M&amp;A (fusioni e acquisizioni) per i primi sei mesi era pari a -300 milioni di euro </w:t>
      </w:r>
      <w:r>
        <w:lastRenderedPageBreak/>
        <w:t>(anno precedente: -128 milioni di euro), frenato da flussi di cassa in uscita pianificati per un totale di 236 milioni di euro riguardanti ristrutturazioni e integrazione. Le spese in conto capitale in immobili, impianti e attrezzature e in attività immateriali (capex) per il periodo di riferimento sono state pari a 432 milioni di euro (anno precedente: 455 milioni di euro).</w:t>
      </w:r>
    </w:p>
    <w:p w14:paraId="7A9B0DA8" w14:textId="2D644F08" w:rsidR="00DE44AC" w:rsidRPr="00715A0E" w:rsidRDefault="00641B00" w:rsidP="001325E7">
      <w:r>
        <w:t>“La nostra rigorosa attenzione al miglioramento della performance operativa nella prima metà dell’anno sta dando i suoi frutti specialmente nelle divisioni E-</w:t>
      </w:r>
      <w:proofErr w:type="spellStart"/>
      <w:r>
        <w:t>Mobility</w:t>
      </w:r>
      <w:proofErr w:type="spellEnd"/>
      <w:r>
        <w:t xml:space="preserve"> e </w:t>
      </w:r>
      <w:proofErr w:type="spellStart"/>
      <w:r>
        <w:t>Bearings</w:t>
      </w:r>
      <w:proofErr w:type="spellEnd"/>
      <w:r>
        <w:t xml:space="preserve"> &amp; Industrial Solutions. I forti contributi agli utili apportati da </w:t>
      </w:r>
      <w:proofErr w:type="spellStart"/>
      <w:r>
        <w:t>Powertrain</w:t>
      </w:r>
      <w:proofErr w:type="spellEnd"/>
      <w:r>
        <w:t xml:space="preserve"> &amp; Chassis e </w:t>
      </w:r>
      <w:proofErr w:type="spellStart"/>
      <w:r>
        <w:t>Vehicle</w:t>
      </w:r>
      <w:proofErr w:type="spellEnd"/>
      <w:r>
        <w:t xml:space="preserve"> </w:t>
      </w:r>
      <w:proofErr w:type="spellStart"/>
      <w:r>
        <w:t>Lifetime</w:t>
      </w:r>
      <w:proofErr w:type="spellEnd"/>
      <w:r>
        <w:t xml:space="preserve"> Solutions rafforzano la solida redditività del Gruppo Schaeffler. Stiamo chiaramente indirizzando le nostre spese in conto capitale verso le nostre aree di crescita futura, mantenendo sempre un approccio disciplinato e selettivo. Al contempo ottimizzeremo ulteriormente la gestione delle scorte, al fine di migliorare in modo sostenibile il free cash flow nel restante corso dell’esercizio”, ha dichiarato Christophe Hannequin, CFO di Schaeffler AG.</w:t>
      </w:r>
    </w:p>
    <w:p w14:paraId="522DDE5A" w14:textId="7C38BC5F" w:rsidR="00F32013" w:rsidRPr="00715A0E" w:rsidRDefault="00F32013" w:rsidP="001325E7">
      <w:r>
        <w:t xml:space="preserve">L’utile netto distribuibile agli azionisti della società capogruppo è stato pari a 93 milioni di euro (anno precedente: 43 milioni di euro) ed è stato penalizzato da 56 milioni di euro di operazioni straordinarie. L’utile per azione è stato pari a 0,10 euro (anno precedente: 0,05 euro). </w:t>
      </w:r>
    </w:p>
    <w:p w14:paraId="6198B0A7" w14:textId="279F79E1" w:rsidR="00F32013" w:rsidRPr="00715A0E" w:rsidRDefault="00F32013" w:rsidP="001325E7">
      <w:r>
        <w:t>Al 30 giugno 2026, il Gruppo Schaeffler presentava un debito netto finanziario di 5.545 milioni di euro (31 dicembre 2025: 4.915 milioni di euro). Il rapporto tra debito netto finanziario ed EBITDA prima delle operazioni straordinarie era pari a 2,4 alla stessa data di riferimento (31 dicembre 2025: 2,1). Il rapporto tra debito netto finanziario e patrimonio netto degli azionisti (</w:t>
      </w:r>
      <w:proofErr w:type="spellStart"/>
      <w:r>
        <w:t>gearing</w:t>
      </w:r>
      <w:proofErr w:type="spellEnd"/>
      <w:r>
        <w:t xml:space="preserve"> ratio) era pari al 186 percento.</w:t>
      </w:r>
    </w:p>
    <w:p w14:paraId="22798813" w14:textId="20E2C3F8" w:rsidR="00F32013" w:rsidRPr="00715A0E" w:rsidRDefault="00E802CF" w:rsidP="001325E7">
      <w:r>
        <w:t>Al 30 giugno 2026 l’azienda disponeva di una forza lavoro di 108.912 </w:t>
      </w:r>
      <w:r w:rsidR="00FA4443">
        <w:t>collaboratori</w:t>
      </w:r>
      <w:r>
        <w:t xml:space="preserve"> in tutto il mondo. Ciò rappresenta una diminuzione di forza lavoro pari a 3.946 </w:t>
      </w:r>
      <w:r w:rsidR="00FA4443">
        <w:t xml:space="preserve">collaboratori </w:t>
      </w:r>
      <w:r>
        <w:t xml:space="preserve">dal 30 giugno 2025 e di 1.841 </w:t>
      </w:r>
      <w:r w:rsidR="00FA4443">
        <w:t>collaboratori</w:t>
      </w:r>
      <w:r>
        <w:t xml:space="preserve"> dal 31 dicembre 2025.</w:t>
      </w:r>
    </w:p>
    <w:p w14:paraId="2250BB1D" w14:textId="5F70B009" w:rsidR="00EE6765" w:rsidRPr="00715A0E" w:rsidRDefault="00F32013" w:rsidP="00B13126">
      <w:r>
        <w:rPr>
          <w:rStyle w:val="Enfasigrassetto"/>
        </w:rPr>
        <w:t>Outlook – Previsioni confermate per l’intero esercizio</w:t>
      </w:r>
      <w:r>
        <w:rPr>
          <w:rStyle w:val="Enfasigrassetto"/>
        </w:rPr>
        <w:br/>
      </w:r>
      <w:r>
        <w:t xml:space="preserve">Il Gruppo </w:t>
      </w:r>
      <w:proofErr w:type="spellStart"/>
      <w:r>
        <w:t>Schaeﬄer</w:t>
      </w:r>
      <w:proofErr w:type="spellEnd"/>
      <w:r>
        <w:t xml:space="preserve"> continua a prevedere per il 2026 un fatturato compreso tra circa 22,5 e 24,5 miliardi di euro. Ciò corrisponde a una variazione del fatturato, al netto degli effetti di cambio, compresa tra -4,3 e 4,3 percento. Al contempo, l’azienda prevede di conseguire per il 2026 un margine EBIT prima delle operazioni straordinarie compreso tra il 3,5 e il 5,5 percento. Il free cash flow prima dei flussi di cassa per attività M&amp;A (fusioni e acquisizioni) è previsto in un </w:t>
      </w:r>
      <w:r w:rsidR="009966D4">
        <w:t>range</w:t>
      </w:r>
      <w:r>
        <w:t xml:space="preserve"> compreso tra 100 e 300 milioni di euro.</w:t>
      </w:r>
    </w:p>
    <w:tbl>
      <w:tblPr>
        <w:tblpPr w:leftFromText="141" w:rightFromText="141" w:vertAnchor="text" w:horzAnchor="margin" w:tblpY="287"/>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88"/>
        <w:gridCol w:w="1855"/>
        <w:gridCol w:w="1263"/>
        <w:gridCol w:w="1134"/>
        <w:gridCol w:w="1276"/>
        <w:gridCol w:w="1417"/>
      </w:tblGrid>
      <w:tr w:rsidR="00C11E0B" w:rsidRPr="00715A0E" w14:paraId="4C51010B" w14:textId="77777777" w:rsidTr="00C431A7">
        <w:trPr>
          <w:trHeight w:val="499"/>
        </w:trPr>
        <w:tc>
          <w:tcPr>
            <w:tcW w:w="988" w:type="dxa"/>
            <w:shd w:val="clear" w:color="auto" w:fill="D9D9D9" w:themeFill="background1" w:themeFillShade="D9"/>
            <w:vAlign w:val="center"/>
          </w:tcPr>
          <w:p w14:paraId="4007FF07"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b/>
                <w:sz w:val="16"/>
                <w:szCs w:val="16"/>
              </w:rPr>
            </w:pPr>
            <w:r>
              <w:rPr>
                <w:rFonts w:ascii="Calibri" w:hAnsi="Calibri"/>
                <w:b/>
                <w:sz w:val="16"/>
              </w:rPr>
              <w:t>Outlook</w:t>
            </w:r>
          </w:p>
        </w:tc>
        <w:tc>
          <w:tcPr>
            <w:tcW w:w="1855" w:type="dxa"/>
            <w:shd w:val="clear" w:color="auto" w:fill="D9D9D9" w:themeFill="background1" w:themeFillShade="D9"/>
            <w:vAlign w:val="center"/>
          </w:tcPr>
          <w:p w14:paraId="0DCF82A4"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b/>
                <w:sz w:val="16"/>
                <w:szCs w:val="16"/>
              </w:rPr>
            </w:pPr>
            <w:r>
              <w:rPr>
                <w:rFonts w:ascii="Calibri" w:hAnsi="Calibri"/>
                <w:b/>
                <w:sz w:val="16"/>
              </w:rPr>
              <w:t>Gruppo Schaeffler</w:t>
            </w:r>
          </w:p>
        </w:tc>
        <w:tc>
          <w:tcPr>
            <w:tcW w:w="1263" w:type="dxa"/>
            <w:shd w:val="clear" w:color="auto" w:fill="D9D9D9" w:themeFill="background1" w:themeFillShade="D9"/>
            <w:vAlign w:val="center"/>
          </w:tcPr>
          <w:p w14:paraId="6CD391E9" w14:textId="77777777" w:rsidR="00C11E0B" w:rsidRPr="00715A0E" w:rsidDel="00D476AE" w:rsidRDefault="00C11E0B" w:rsidP="00C431A7">
            <w:pPr>
              <w:widowControl w:val="0"/>
              <w:autoSpaceDE w:val="0"/>
              <w:autoSpaceDN w:val="0"/>
              <w:adjustRightInd w:val="0"/>
              <w:spacing w:before="60"/>
              <w:jc w:val="center"/>
              <w:rPr>
                <w:rFonts w:ascii="Calibri" w:eastAsia="Times New Roman" w:hAnsi="Calibri" w:cs="Arial"/>
                <w:b/>
                <w:sz w:val="16"/>
                <w:szCs w:val="18"/>
              </w:rPr>
            </w:pPr>
            <w:r>
              <w:rPr>
                <w:rFonts w:ascii="Calibri" w:hAnsi="Calibri"/>
                <w:b/>
                <w:sz w:val="16"/>
              </w:rPr>
              <w:t>E-</w:t>
            </w:r>
            <w:proofErr w:type="spellStart"/>
            <w:r>
              <w:rPr>
                <w:rFonts w:ascii="Calibri" w:hAnsi="Calibri"/>
                <w:b/>
                <w:sz w:val="16"/>
              </w:rPr>
              <w:t>Mobility</w:t>
            </w:r>
            <w:proofErr w:type="spellEnd"/>
            <w:r>
              <w:rPr>
                <w:rFonts w:ascii="Calibri" w:hAnsi="Calibri"/>
                <w:b/>
                <w:sz w:val="16"/>
              </w:rPr>
              <w:t xml:space="preserve"> </w:t>
            </w:r>
          </w:p>
        </w:tc>
        <w:tc>
          <w:tcPr>
            <w:tcW w:w="1134" w:type="dxa"/>
            <w:shd w:val="clear" w:color="auto" w:fill="D9D9D9" w:themeFill="background1" w:themeFillShade="D9"/>
            <w:vAlign w:val="center"/>
          </w:tcPr>
          <w:p w14:paraId="0B918AAA" w14:textId="77777777" w:rsidR="00C11E0B" w:rsidRPr="00715A0E" w:rsidDel="00D476AE" w:rsidRDefault="00C11E0B" w:rsidP="00C431A7">
            <w:pPr>
              <w:widowControl w:val="0"/>
              <w:autoSpaceDE w:val="0"/>
              <w:autoSpaceDN w:val="0"/>
              <w:adjustRightInd w:val="0"/>
              <w:spacing w:before="60"/>
              <w:jc w:val="center"/>
              <w:rPr>
                <w:rFonts w:ascii="Calibri" w:eastAsia="Times New Roman" w:hAnsi="Calibri" w:cs="Arial"/>
                <w:b/>
                <w:sz w:val="16"/>
                <w:szCs w:val="18"/>
              </w:rPr>
            </w:pPr>
            <w:proofErr w:type="spellStart"/>
            <w:r>
              <w:rPr>
                <w:rFonts w:ascii="Calibri" w:hAnsi="Calibri"/>
                <w:b/>
                <w:sz w:val="16"/>
              </w:rPr>
              <w:t>Powertrain</w:t>
            </w:r>
            <w:proofErr w:type="spellEnd"/>
            <w:r>
              <w:rPr>
                <w:rFonts w:ascii="Calibri" w:hAnsi="Calibri"/>
                <w:b/>
                <w:sz w:val="16"/>
              </w:rPr>
              <w:br/>
              <w:t xml:space="preserve">&amp; Chassis </w:t>
            </w:r>
          </w:p>
        </w:tc>
        <w:tc>
          <w:tcPr>
            <w:tcW w:w="1276" w:type="dxa"/>
            <w:shd w:val="clear" w:color="auto" w:fill="D9D9D9" w:themeFill="background1" w:themeFillShade="D9"/>
            <w:vAlign w:val="center"/>
          </w:tcPr>
          <w:p w14:paraId="69814857"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b/>
                <w:sz w:val="16"/>
                <w:szCs w:val="18"/>
              </w:rPr>
            </w:pPr>
            <w:proofErr w:type="spellStart"/>
            <w:r>
              <w:rPr>
                <w:rFonts w:ascii="Calibri" w:hAnsi="Calibri"/>
                <w:b/>
                <w:sz w:val="16"/>
              </w:rPr>
              <w:t>Vehicle</w:t>
            </w:r>
            <w:proofErr w:type="spellEnd"/>
            <w:r>
              <w:rPr>
                <w:rFonts w:ascii="Calibri" w:hAnsi="Calibri"/>
                <w:b/>
                <w:sz w:val="16"/>
              </w:rPr>
              <w:t xml:space="preserve"> </w:t>
            </w:r>
            <w:proofErr w:type="spellStart"/>
            <w:r>
              <w:rPr>
                <w:rFonts w:ascii="Calibri" w:hAnsi="Calibri"/>
                <w:b/>
                <w:sz w:val="16"/>
              </w:rPr>
              <w:t>Lifetime</w:t>
            </w:r>
            <w:proofErr w:type="spellEnd"/>
            <w:r>
              <w:rPr>
                <w:rFonts w:ascii="Calibri" w:hAnsi="Calibri"/>
                <w:b/>
                <w:sz w:val="16"/>
              </w:rPr>
              <w:t xml:space="preserve"> Solutions</w:t>
            </w:r>
          </w:p>
        </w:tc>
        <w:tc>
          <w:tcPr>
            <w:tcW w:w="1417" w:type="dxa"/>
            <w:shd w:val="clear" w:color="auto" w:fill="D9D9D9" w:themeFill="background1" w:themeFillShade="D9"/>
          </w:tcPr>
          <w:p w14:paraId="1FC10E5E"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b/>
                <w:sz w:val="16"/>
                <w:szCs w:val="18"/>
              </w:rPr>
            </w:pPr>
            <w:proofErr w:type="spellStart"/>
            <w:r>
              <w:rPr>
                <w:rFonts w:ascii="Calibri" w:hAnsi="Calibri"/>
                <w:b/>
                <w:sz w:val="16"/>
              </w:rPr>
              <w:t>Bearings</w:t>
            </w:r>
            <w:proofErr w:type="spellEnd"/>
            <w:r>
              <w:rPr>
                <w:rFonts w:ascii="Calibri" w:hAnsi="Calibri"/>
                <w:b/>
                <w:sz w:val="16"/>
              </w:rPr>
              <w:t xml:space="preserve"> &amp;</w:t>
            </w:r>
            <w:r>
              <w:rPr>
                <w:rFonts w:ascii="Calibri" w:hAnsi="Calibri"/>
                <w:b/>
                <w:sz w:val="16"/>
              </w:rPr>
              <w:br/>
              <w:t>Industrial Solutions</w:t>
            </w:r>
          </w:p>
        </w:tc>
      </w:tr>
      <w:tr w:rsidR="00C11E0B" w:rsidRPr="00715A0E" w14:paraId="46E4293C" w14:textId="77777777" w:rsidTr="00C431A7">
        <w:trPr>
          <w:trHeight w:val="499"/>
        </w:trPr>
        <w:tc>
          <w:tcPr>
            <w:tcW w:w="988" w:type="dxa"/>
            <w:shd w:val="clear" w:color="auto" w:fill="FFFFFF" w:themeFill="background1"/>
            <w:vAlign w:val="center"/>
          </w:tcPr>
          <w:p w14:paraId="5AA1D51E" w14:textId="77777777" w:rsidR="00C11E0B" w:rsidRPr="00715A0E" w:rsidRDefault="00C11E0B" w:rsidP="00C431A7">
            <w:pPr>
              <w:widowControl w:val="0"/>
              <w:autoSpaceDE w:val="0"/>
              <w:autoSpaceDN w:val="0"/>
              <w:adjustRightInd w:val="0"/>
              <w:spacing w:before="60"/>
              <w:jc w:val="center"/>
              <w:rPr>
                <w:rStyle w:val="Rimandonotaapidipagina"/>
                <w:rFonts w:ascii="Calibri" w:eastAsia="Times New Roman" w:hAnsi="Calibri" w:cs="Arial"/>
                <w:b/>
                <w:bCs/>
                <w:sz w:val="16"/>
                <w:szCs w:val="16"/>
              </w:rPr>
            </w:pPr>
            <w:r>
              <w:rPr>
                <w:rFonts w:ascii="Calibri" w:hAnsi="Calibri"/>
                <w:b/>
                <w:sz w:val="16"/>
              </w:rPr>
              <w:t>Fatturato</w:t>
            </w:r>
          </w:p>
        </w:tc>
        <w:tc>
          <w:tcPr>
            <w:tcW w:w="1855" w:type="dxa"/>
            <w:shd w:val="clear" w:color="auto" w:fill="FFFFFF" w:themeFill="background1"/>
            <w:vAlign w:val="center"/>
          </w:tcPr>
          <w:p w14:paraId="0D79BCBD"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6"/>
              </w:rPr>
            </w:pPr>
            <w:r>
              <w:rPr>
                <w:rFonts w:ascii="Calibri" w:hAnsi="Calibri"/>
                <w:sz w:val="16"/>
              </w:rPr>
              <w:t>Da 22,5 a 24,5</w:t>
            </w:r>
            <w:r>
              <w:rPr>
                <w:rFonts w:ascii="Calibri" w:hAnsi="Calibri"/>
                <w:sz w:val="16"/>
              </w:rPr>
              <w:br/>
              <w:t>miliardi di euro</w:t>
            </w:r>
          </w:p>
        </w:tc>
        <w:tc>
          <w:tcPr>
            <w:tcW w:w="1263" w:type="dxa"/>
            <w:shd w:val="clear" w:color="auto" w:fill="FFFFFF" w:themeFill="background1"/>
            <w:vAlign w:val="center"/>
          </w:tcPr>
          <w:p w14:paraId="124A5429"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6"/>
              </w:rPr>
            </w:pPr>
            <w:r>
              <w:rPr>
                <w:rFonts w:ascii="Calibri" w:hAnsi="Calibri"/>
                <w:sz w:val="16"/>
              </w:rPr>
              <w:t>Da 5,2 a 5,8</w:t>
            </w:r>
            <w:r>
              <w:rPr>
                <w:rFonts w:ascii="Calibri" w:hAnsi="Calibri"/>
                <w:sz w:val="16"/>
              </w:rPr>
              <w:br/>
              <w:t>miliardi di euro</w:t>
            </w:r>
          </w:p>
        </w:tc>
        <w:tc>
          <w:tcPr>
            <w:tcW w:w="1134" w:type="dxa"/>
            <w:shd w:val="clear" w:color="auto" w:fill="FFFFFF" w:themeFill="background1"/>
            <w:vAlign w:val="center"/>
          </w:tcPr>
          <w:p w14:paraId="488B76E5"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6"/>
              </w:rPr>
            </w:pPr>
            <w:r>
              <w:rPr>
                <w:rFonts w:ascii="Calibri" w:hAnsi="Calibri"/>
                <w:sz w:val="16"/>
              </w:rPr>
              <w:t>Da 8,0 a 8,6</w:t>
            </w:r>
            <w:r>
              <w:rPr>
                <w:rFonts w:ascii="Calibri" w:hAnsi="Calibri"/>
                <w:sz w:val="16"/>
              </w:rPr>
              <w:br/>
              <w:t>miliardi di euro</w:t>
            </w:r>
          </w:p>
        </w:tc>
        <w:tc>
          <w:tcPr>
            <w:tcW w:w="1276" w:type="dxa"/>
            <w:shd w:val="clear" w:color="auto" w:fill="FFFFFF" w:themeFill="background1"/>
            <w:vAlign w:val="center"/>
          </w:tcPr>
          <w:p w14:paraId="295D0C67"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6"/>
              </w:rPr>
            </w:pPr>
            <w:r>
              <w:rPr>
                <w:rFonts w:ascii="Calibri" w:hAnsi="Calibri"/>
                <w:sz w:val="16"/>
              </w:rPr>
              <w:t>Da 3,1 a 3,3</w:t>
            </w:r>
            <w:r>
              <w:rPr>
                <w:rFonts w:ascii="Calibri" w:hAnsi="Calibri"/>
                <w:sz w:val="16"/>
              </w:rPr>
              <w:br/>
              <w:t>miliardi di euro</w:t>
            </w:r>
          </w:p>
        </w:tc>
        <w:tc>
          <w:tcPr>
            <w:tcW w:w="1417" w:type="dxa"/>
            <w:shd w:val="clear" w:color="auto" w:fill="FFFFFF" w:themeFill="background1"/>
            <w:vAlign w:val="center"/>
          </w:tcPr>
          <w:p w14:paraId="71B1A3C1"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6"/>
              </w:rPr>
            </w:pPr>
            <w:r>
              <w:rPr>
                <w:rFonts w:ascii="Calibri" w:hAnsi="Calibri"/>
                <w:sz w:val="16"/>
              </w:rPr>
              <w:t>Da 6,2 a 6,7</w:t>
            </w:r>
            <w:r>
              <w:rPr>
                <w:rFonts w:ascii="Calibri" w:hAnsi="Calibri"/>
                <w:sz w:val="16"/>
              </w:rPr>
              <w:br/>
              <w:t>miliardi di euro</w:t>
            </w:r>
          </w:p>
        </w:tc>
      </w:tr>
      <w:tr w:rsidR="00C11E0B" w:rsidRPr="00715A0E" w14:paraId="530CEF6F" w14:textId="77777777" w:rsidTr="00C431A7">
        <w:trPr>
          <w:trHeight w:val="499"/>
        </w:trPr>
        <w:tc>
          <w:tcPr>
            <w:tcW w:w="988" w:type="dxa"/>
            <w:shd w:val="clear" w:color="auto" w:fill="FFFFFF" w:themeFill="background1"/>
            <w:vAlign w:val="center"/>
          </w:tcPr>
          <w:p w14:paraId="3A0EC208"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b/>
                <w:bCs/>
                <w:sz w:val="16"/>
                <w:szCs w:val="16"/>
              </w:rPr>
            </w:pPr>
            <w:r>
              <w:rPr>
                <w:rFonts w:ascii="Calibri" w:hAnsi="Calibri"/>
                <w:b/>
                <w:sz w:val="16"/>
              </w:rPr>
              <w:t>Margine</w:t>
            </w:r>
            <w:r>
              <w:br/>
            </w:r>
            <w:r>
              <w:rPr>
                <w:rFonts w:ascii="Calibri" w:hAnsi="Calibri"/>
                <w:b/>
                <w:sz w:val="16"/>
              </w:rPr>
              <w:t>EBIT</w:t>
            </w:r>
            <w:r>
              <w:rPr>
                <w:rStyle w:val="Rimandonotaapidipagina"/>
                <w:sz w:val="16"/>
              </w:rPr>
              <w:t>1</w:t>
            </w:r>
          </w:p>
        </w:tc>
        <w:tc>
          <w:tcPr>
            <w:tcW w:w="1855" w:type="dxa"/>
            <w:shd w:val="clear" w:color="auto" w:fill="FFFFFF" w:themeFill="background1"/>
            <w:vAlign w:val="center"/>
          </w:tcPr>
          <w:p w14:paraId="63368193"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6"/>
              </w:rPr>
            </w:pPr>
            <w:r>
              <w:rPr>
                <w:rFonts w:ascii="Calibri" w:hAnsi="Calibri"/>
                <w:sz w:val="16"/>
              </w:rPr>
              <w:t>Dal 3,5 al 5,5 %</w:t>
            </w:r>
          </w:p>
        </w:tc>
        <w:tc>
          <w:tcPr>
            <w:tcW w:w="1263" w:type="dxa"/>
            <w:shd w:val="clear" w:color="auto" w:fill="FFFFFF" w:themeFill="background1"/>
            <w:vAlign w:val="center"/>
          </w:tcPr>
          <w:p w14:paraId="3D15C7FC"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8"/>
              </w:rPr>
            </w:pPr>
            <w:r>
              <w:rPr>
                <w:rFonts w:ascii="Calibri" w:hAnsi="Calibri"/>
                <w:sz w:val="16"/>
              </w:rPr>
              <w:t>Dal -15,0 al -13,0 %</w:t>
            </w:r>
          </w:p>
        </w:tc>
        <w:tc>
          <w:tcPr>
            <w:tcW w:w="1134" w:type="dxa"/>
            <w:shd w:val="clear" w:color="auto" w:fill="FFFFFF" w:themeFill="background1"/>
            <w:vAlign w:val="center"/>
          </w:tcPr>
          <w:p w14:paraId="07A5D163"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8"/>
              </w:rPr>
            </w:pPr>
            <w:r>
              <w:rPr>
                <w:rFonts w:ascii="Calibri" w:hAnsi="Calibri"/>
                <w:sz w:val="16"/>
              </w:rPr>
              <w:t>Dal 10,0 al 12,0 %</w:t>
            </w:r>
          </w:p>
        </w:tc>
        <w:tc>
          <w:tcPr>
            <w:tcW w:w="1276" w:type="dxa"/>
            <w:shd w:val="clear" w:color="auto" w:fill="FFFFFF" w:themeFill="background1"/>
            <w:vAlign w:val="center"/>
          </w:tcPr>
          <w:p w14:paraId="7F5E7756"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8"/>
              </w:rPr>
            </w:pPr>
            <w:r>
              <w:rPr>
                <w:rFonts w:ascii="Calibri" w:hAnsi="Calibri"/>
                <w:sz w:val="16"/>
              </w:rPr>
              <w:t>Dal 13,5 al 15,5 %</w:t>
            </w:r>
          </w:p>
        </w:tc>
        <w:tc>
          <w:tcPr>
            <w:tcW w:w="1417" w:type="dxa"/>
            <w:shd w:val="clear" w:color="auto" w:fill="FFFFFF" w:themeFill="background1"/>
            <w:vAlign w:val="center"/>
          </w:tcPr>
          <w:p w14:paraId="66151D2B"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8"/>
              </w:rPr>
            </w:pPr>
            <w:r>
              <w:rPr>
                <w:rFonts w:ascii="Calibri" w:hAnsi="Calibri"/>
                <w:sz w:val="16"/>
              </w:rPr>
              <w:t>Dal 7,0 al 9,0 %</w:t>
            </w:r>
          </w:p>
        </w:tc>
      </w:tr>
      <w:tr w:rsidR="00C11E0B" w:rsidRPr="00715A0E" w14:paraId="43FC5AE7" w14:textId="77777777" w:rsidTr="00C431A7">
        <w:trPr>
          <w:gridAfter w:val="4"/>
          <w:wAfter w:w="5090" w:type="dxa"/>
          <w:trHeight w:val="499"/>
        </w:trPr>
        <w:tc>
          <w:tcPr>
            <w:tcW w:w="988" w:type="dxa"/>
            <w:tcBorders>
              <w:bottom w:val="single" w:sz="4" w:space="0" w:color="auto"/>
            </w:tcBorders>
            <w:shd w:val="clear" w:color="auto" w:fill="FFFFFF" w:themeFill="background1"/>
            <w:vAlign w:val="center"/>
          </w:tcPr>
          <w:p w14:paraId="324A55FC"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b/>
                <w:bCs/>
                <w:sz w:val="16"/>
                <w:szCs w:val="16"/>
              </w:rPr>
            </w:pPr>
            <w:r>
              <w:rPr>
                <w:rFonts w:ascii="Calibri" w:hAnsi="Calibri"/>
                <w:b/>
                <w:sz w:val="16"/>
              </w:rPr>
              <w:lastRenderedPageBreak/>
              <w:t xml:space="preserve">Free </w:t>
            </w:r>
            <w:r>
              <w:br/>
            </w:r>
            <w:r>
              <w:rPr>
                <w:rFonts w:ascii="Calibri" w:hAnsi="Calibri"/>
                <w:b/>
                <w:sz w:val="16"/>
              </w:rPr>
              <w:t>cash flow</w:t>
            </w:r>
            <w:r>
              <w:rPr>
                <w:rStyle w:val="Rimandonotaapidipagina"/>
                <w:sz w:val="16"/>
              </w:rPr>
              <w:t>2</w:t>
            </w:r>
          </w:p>
        </w:tc>
        <w:tc>
          <w:tcPr>
            <w:tcW w:w="1855" w:type="dxa"/>
            <w:tcBorders>
              <w:bottom w:val="single" w:sz="4" w:space="0" w:color="auto"/>
            </w:tcBorders>
            <w:shd w:val="clear" w:color="auto" w:fill="FFFFFF" w:themeFill="background1"/>
            <w:vAlign w:val="center"/>
          </w:tcPr>
          <w:p w14:paraId="68D16429" w14:textId="77777777" w:rsidR="00C11E0B" w:rsidRPr="00715A0E" w:rsidRDefault="00C11E0B" w:rsidP="00C431A7">
            <w:pPr>
              <w:widowControl w:val="0"/>
              <w:autoSpaceDE w:val="0"/>
              <w:autoSpaceDN w:val="0"/>
              <w:adjustRightInd w:val="0"/>
              <w:spacing w:before="60"/>
              <w:jc w:val="center"/>
              <w:rPr>
                <w:rFonts w:ascii="Calibri" w:eastAsia="Times New Roman" w:hAnsi="Calibri" w:cs="Arial"/>
                <w:sz w:val="16"/>
                <w:szCs w:val="16"/>
              </w:rPr>
            </w:pPr>
            <w:r>
              <w:rPr>
                <w:rFonts w:ascii="Calibri" w:hAnsi="Calibri"/>
                <w:sz w:val="16"/>
              </w:rPr>
              <w:t>Da 100 a 300</w:t>
            </w:r>
            <w:r>
              <w:rPr>
                <w:rFonts w:ascii="Calibri" w:hAnsi="Calibri"/>
                <w:sz w:val="16"/>
              </w:rPr>
              <w:br/>
              <w:t>milioni di euro</w:t>
            </w:r>
          </w:p>
        </w:tc>
      </w:tr>
      <w:tr w:rsidR="00C11E0B" w:rsidRPr="00715A0E" w14:paraId="332FDF60" w14:textId="77777777" w:rsidTr="00C431A7">
        <w:trPr>
          <w:gridAfter w:val="4"/>
          <w:wAfter w:w="5090" w:type="dxa"/>
          <w:trHeight w:val="565"/>
        </w:trPr>
        <w:tc>
          <w:tcPr>
            <w:tcW w:w="2843" w:type="dxa"/>
            <w:gridSpan w:val="2"/>
            <w:tcBorders>
              <w:top w:val="nil"/>
              <w:left w:val="nil"/>
              <w:bottom w:val="nil"/>
              <w:right w:val="nil"/>
            </w:tcBorders>
            <w:shd w:val="clear" w:color="auto" w:fill="FFFFFF" w:themeFill="background1"/>
            <w:vAlign w:val="center"/>
          </w:tcPr>
          <w:p w14:paraId="433819DF" w14:textId="77777777" w:rsidR="00C11E0B" w:rsidRPr="00715A0E" w:rsidRDefault="00C11E0B" w:rsidP="00C431A7">
            <w:pPr>
              <w:pStyle w:val="Testonotaapidipagina"/>
              <w:rPr>
                <w:sz w:val="12"/>
                <w:szCs w:val="12"/>
              </w:rPr>
            </w:pPr>
            <w:r>
              <w:rPr>
                <w:sz w:val="12"/>
                <w:vertAlign w:val="superscript"/>
              </w:rPr>
              <w:t>1</w:t>
            </w:r>
            <w:r>
              <w:rPr>
                <w:sz w:val="12"/>
              </w:rPr>
              <w:t xml:space="preserve"> Prima di operazioni straordinarie</w:t>
            </w:r>
          </w:p>
          <w:p w14:paraId="5A456490" w14:textId="77777777" w:rsidR="00C11E0B" w:rsidRPr="00715A0E" w:rsidRDefault="00C11E0B" w:rsidP="00C431A7">
            <w:pPr>
              <w:pStyle w:val="Testonotaapidipagina"/>
            </w:pPr>
            <w:r>
              <w:rPr>
                <w:sz w:val="12"/>
                <w:vertAlign w:val="superscript"/>
              </w:rPr>
              <w:t>2</w:t>
            </w:r>
            <w:r>
              <w:rPr>
                <w:sz w:val="12"/>
              </w:rPr>
              <w:t xml:space="preserve"> Prima dei flussi di cassa in entrata e in uscita per attività M&amp;A</w:t>
            </w:r>
          </w:p>
        </w:tc>
      </w:tr>
    </w:tbl>
    <w:p w14:paraId="502C75E4" w14:textId="66DFB556" w:rsidR="00CA7D44" w:rsidRPr="00715A0E" w:rsidRDefault="00CA7D44" w:rsidP="00CA7D44">
      <w:r>
        <w:t>Come indicato nella relazione finanziaria semestrale al 30 giugno 2026, il Consiglio di Amministrazione di Schaeffler AG ha confermato le previsioni per l’intero esercizio.</w:t>
      </w:r>
    </w:p>
    <w:p w14:paraId="5BC08625" w14:textId="02053C65" w:rsidR="00CA7D44" w:rsidRPr="00715A0E" w:rsidRDefault="00CA7D44" w:rsidP="00CA7D44">
      <w:r>
        <w:t xml:space="preserve">L’azienda ha dato notizia dell’adeguamento dei propri obiettivi a medio termine per il 2028 in una comunicazione separata in data 31 luglio 2026. </w:t>
      </w:r>
    </w:p>
    <w:p w14:paraId="0EC1E8AD" w14:textId="77777777" w:rsidR="00C11E0B" w:rsidRPr="00715A0E" w:rsidRDefault="00C11E0B" w:rsidP="00B13126"/>
    <w:p w14:paraId="34706405" w14:textId="56B9E470" w:rsidR="00F32013" w:rsidRPr="00715A0E" w:rsidRDefault="00F32013" w:rsidP="00B13126">
      <w:r>
        <w:t>Le foto dei componenti del Consiglio di Amministrazione sono disponibili qui:</w:t>
      </w:r>
    </w:p>
    <w:p w14:paraId="4EC84D3A" w14:textId="56401EFE" w:rsidR="00F32013" w:rsidRPr="000A11AC" w:rsidRDefault="00980A85" w:rsidP="00B13126">
      <w:hyperlink r:id="rId11" w:history="1">
        <w:r>
          <w:rPr>
            <w:rStyle w:val="Collegamentoipertestuale"/>
          </w:rPr>
          <w:t>www.schaeffler.com/en/group/executive-board</w:t>
        </w:r>
      </w:hyperlink>
      <w:r>
        <w:t xml:space="preserve"> </w:t>
      </w:r>
    </w:p>
    <w:p w14:paraId="307EB5B7" w14:textId="080DFB8F" w:rsidR="00B13126" w:rsidRPr="00715A0E" w:rsidRDefault="00B13126" w:rsidP="00F453D9">
      <w:pPr>
        <w:ind w:left="227" w:hanging="227"/>
      </w:pPr>
    </w:p>
    <w:p w14:paraId="1B785AC5" w14:textId="77777777" w:rsidR="00B13126" w:rsidRPr="00715A0E" w:rsidRDefault="00B13126" w:rsidP="00F453D9">
      <w:pPr>
        <w:ind w:left="227" w:hanging="227"/>
      </w:pPr>
    </w:p>
    <w:p w14:paraId="2ADE0FA0" w14:textId="77777777" w:rsidR="00104FD7" w:rsidRPr="00715A0E" w:rsidRDefault="00104FD7" w:rsidP="009031C8">
      <w:pPr>
        <w:pStyle w:val="Hinweisfett"/>
      </w:pPr>
      <w:r>
        <w:br w:type="page"/>
      </w:r>
    </w:p>
    <w:p w14:paraId="233728C9" w14:textId="4E3A3A5E" w:rsidR="009031C8" w:rsidRPr="00715A0E" w:rsidRDefault="009031C8" w:rsidP="009031C8">
      <w:pPr>
        <w:pStyle w:val="Hinweisfett"/>
      </w:pPr>
      <w:r>
        <w:lastRenderedPageBreak/>
        <w:t>Dichiarazioni e proiezioni previsionali</w:t>
      </w:r>
    </w:p>
    <w:p w14:paraId="16246D88" w14:textId="77777777" w:rsidR="009031C8" w:rsidRPr="00715A0E" w:rsidRDefault="009031C8" w:rsidP="009031C8">
      <w:pPr>
        <w:pStyle w:val="Hinweis"/>
      </w:pPr>
      <w:r>
        <w:t>Alcune affermazioni contenute in questo comunicato stampa costituiscono dichiarazioni previsionali. Per loro natura, tali dichiarazioni comportano rischi, incertezze e ipotesi che possono far sì che risultati o eventi effettivi differiscano in modo significativo da quanto espresso o suggerito. Questi fattori potrebbero incidere negativamente sugli esiti e sulle conseguenze finanziarie dei piani e degli eventi descritti. Nessuno si assume alcun obbligo di aggiornare o rivedere pubblicamente alcuna dichiarazione previsionale, sia in seguito a nuove informazioni, eventi futuri o altro. Si invita pertanto a non fare eccessivo affidamento su tali dichiarazioni, che riflettono la situazione alla sola data di pubblicazione del comunicato. Le affermazioni contenute nel presente comunicato stampa relative a tendenze o eventi passati non devono essere interpretate come una garanzia che tali tendenze o eventi si ripeteranno in futuro. Le dichiarazioni cautelative sopra riportate devono essere considerate insieme a qualsiasi successiva dichiarazione previsionale, scritta o orale, rilasciata da Schaeffler o da persone autorizzate a parlare per suo conto.</w:t>
      </w:r>
    </w:p>
    <w:p w14:paraId="0E8AAAF7" w14:textId="77777777" w:rsidR="009031C8" w:rsidRPr="00A503C4" w:rsidRDefault="009031C8" w:rsidP="009031C8">
      <w:pPr>
        <w:pStyle w:val="Hinweis"/>
      </w:pPr>
    </w:p>
    <w:p w14:paraId="78CD6DD0" w14:textId="77777777" w:rsidR="009031C8" w:rsidRPr="00473800" w:rsidRDefault="009031C8" w:rsidP="009031C8">
      <w:pPr>
        <w:pStyle w:val="Hinweis"/>
      </w:pPr>
      <w:r>
        <w:rPr>
          <w:noProof/>
        </w:rPr>
        <mc:AlternateContent>
          <mc:Choice Requires="wps">
            <w:drawing>
              <wp:anchor distT="0" distB="0" distL="114300" distR="114300" simplePos="0" relativeHeight="251658240" behindDoc="0" locked="0" layoutInCell="1" allowOverlap="1" wp14:anchorId="19230E29" wp14:editId="70E2EF31">
                <wp:simplePos x="0" y="0"/>
                <wp:positionH relativeFrom="column">
                  <wp:posOffset>0</wp:posOffset>
                </wp:positionH>
                <wp:positionV relativeFrom="paragraph">
                  <wp:posOffset>0</wp:posOffset>
                </wp:positionV>
                <wp:extent cx="4681728"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4681728" cy="0"/>
                        </a:xfrm>
                        <a:prstGeom prst="line">
                          <a:avLst/>
                        </a:prstGeom>
                        <a:ln w="6350">
                          <a:solidFill>
                            <a:schemeClr val="accent6">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911595" id="Gerader Verbinde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" strokecolor="#5d4d4c [2409]" strokeweight=".5pt"/>
            </w:pict>
          </mc:Fallback>
        </mc:AlternateContent>
      </w:r>
    </w:p>
    <w:p w14:paraId="1EF33643" w14:textId="77777777" w:rsidR="0037142E" w:rsidRPr="00715A0E" w:rsidRDefault="0037142E" w:rsidP="0037142E">
      <w:pPr>
        <w:pStyle w:val="Hinweis"/>
        <w:rPr>
          <w:rFonts w:asciiTheme="minorHAnsi" w:hAnsiTheme="minorHAnsi"/>
          <w:b/>
          <w:bCs/>
        </w:rPr>
      </w:pPr>
      <w:r>
        <w:rPr>
          <w:rFonts w:asciiTheme="minorHAnsi" w:hAnsiTheme="minorHAnsi"/>
          <w:b/>
        </w:rPr>
        <w:t xml:space="preserve">Gruppo Schaeffler – </w:t>
      </w:r>
      <w:proofErr w:type="spellStart"/>
      <w:r>
        <w:rPr>
          <w:rFonts w:asciiTheme="minorHAnsi" w:hAnsiTheme="minorHAnsi"/>
          <w:b/>
        </w:rPr>
        <w:t>We</w:t>
      </w:r>
      <w:proofErr w:type="spellEnd"/>
      <w:r>
        <w:rPr>
          <w:rFonts w:asciiTheme="minorHAnsi" w:hAnsiTheme="minorHAnsi"/>
          <w:b/>
        </w:rPr>
        <w:t xml:space="preserve"> </w:t>
      </w:r>
      <w:proofErr w:type="spellStart"/>
      <w:r>
        <w:rPr>
          <w:rFonts w:asciiTheme="minorHAnsi" w:hAnsiTheme="minorHAnsi"/>
          <w:b/>
        </w:rPr>
        <w:t>pioneer</w:t>
      </w:r>
      <w:proofErr w:type="spellEnd"/>
      <w:r>
        <w:rPr>
          <w:rFonts w:asciiTheme="minorHAnsi" w:hAnsiTheme="minorHAnsi"/>
          <w:b/>
        </w:rPr>
        <w:t xml:space="preserve"> </w:t>
      </w:r>
      <w:proofErr w:type="spellStart"/>
      <w:r>
        <w:rPr>
          <w:rFonts w:asciiTheme="minorHAnsi" w:hAnsiTheme="minorHAnsi"/>
          <w:b/>
        </w:rPr>
        <w:t>motion</w:t>
      </w:r>
      <w:proofErr w:type="spellEnd"/>
    </w:p>
    <w:p w14:paraId="737577FC" w14:textId="019E033E" w:rsidR="0037142E" w:rsidRPr="00715A0E" w:rsidRDefault="0037142E" w:rsidP="0037142E">
      <w:pPr>
        <w:pStyle w:val="Hinweis"/>
      </w:pPr>
      <w:r>
        <w:rPr>
          <w:rFonts w:asciiTheme="minorHAnsi" w:hAnsiTheme="minorHAnsi"/>
        </w:rPr>
        <w:t>Il Gruppo Schaeffler guida innovazioni e sviluppi rivoluzionari nel settore della Motion Technology da 80 anni. Grazie a tecnologie, prodotti e servizi all’avanguardia nel campo della mobilità elettrica, delle trasmissioni a basse emissioni di CO₂, delle soluzioni per chassis e delle energie rinnovabili, l’azienda è un partner affidabile nel rendere il movimento più efficiente, intelligente e sostenibile lungo l’intero ciclo di vita. Schaeffler articola la sua ampia offerta in otto famiglie di prodotti che spaziano dalle soluzioni di cuscinetti e dai sistemi di guida lineare a servizi di riparazione e monitoraggio. Con circa 110.000 collaboratori e oltre 250 sedi in 55 Paesi, il Gruppo è una delle maggiori aziende familiari al mondo e figura tra le realtà più innovative della Germania.</w:t>
      </w:r>
      <w:r>
        <w:rPr>
          <w:rFonts w:asciiTheme="minorHAnsi" w:hAnsiTheme="minorHAnsi"/>
        </w:rPr>
        <w:cr/>
      </w:r>
    </w:p>
    <w:p w14:paraId="7C8901F8" w14:textId="77777777" w:rsidR="0037142E" w:rsidRPr="00473800" w:rsidRDefault="0037142E" w:rsidP="0037142E">
      <w:pPr>
        <w:pStyle w:val="Hinweis"/>
      </w:pPr>
      <w:r>
        <w:rPr>
          <w:noProof/>
        </w:rPr>
        <mc:AlternateContent>
          <mc:Choice Requires="wps">
            <w:drawing>
              <wp:anchor distT="0" distB="0" distL="114300" distR="114300" simplePos="0" relativeHeight="251658241" behindDoc="0" locked="0" layoutInCell="1" allowOverlap="1" wp14:anchorId="2C022EB7" wp14:editId="6AC6E371">
                <wp:simplePos x="0" y="0"/>
                <wp:positionH relativeFrom="column">
                  <wp:posOffset>0</wp:posOffset>
                </wp:positionH>
                <wp:positionV relativeFrom="paragraph">
                  <wp:posOffset>0</wp:posOffset>
                </wp:positionV>
                <wp:extent cx="4681728"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4681728" cy="0"/>
                        </a:xfrm>
                        <a:prstGeom prst="line">
                          <a:avLst/>
                        </a:prstGeom>
                        <a:ln w="6350">
                          <a:solidFill>
                            <a:schemeClr val="accent6">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429324" id="Straight Connector 1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" strokecolor="#5d4d4c [2409]" strokeweight=".5pt"/>
            </w:pict>
          </mc:Fallback>
        </mc:AlternateContent>
      </w:r>
    </w:p>
    <w:p w14:paraId="2F1D7803" w14:textId="77777777" w:rsidR="0037142E" w:rsidRPr="00715A0E" w:rsidRDefault="0037142E" w:rsidP="0037142E">
      <w:pPr>
        <w:spacing w:before="0"/>
        <w:rPr>
          <w:rStyle w:val="Enfasigrassetto"/>
        </w:rPr>
      </w:pPr>
    </w:p>
    <w:p w14:paraId="2E8161B9" w14:textId="77777777" w:rsidR="0037142E" w:rsidRPr="00715A0E" w:rsidRDefault="0037142E" w:rsidP="0037142E">
      <w:pPr>
        <w:spacing w:before="0"/>
        <w:rPr>
          <w:rStyle w:val="Enfasigrassetto"/>
        </w:rPr>
      </w:pPr>
      <w:r>
        <w:rPr>
          <w:rStyle w:val="Enfasigrassetto"/>
        </w:rPr>
        <w:t>Contatto</w:t>
      </w:r>
    </w:p>
    <w:p w14:paraId="348EC09D" w14:textId="77777777" w:rsidR="0037142E" w:rsidRPr="00715A0E" w:rsidRDefault="0037142E" w:rsidP="0037142E">
      <w:pPr>
        <w:spacing w:before="0"/>
        <w:rPr>
          <w:rStyle w:val="Enfasigrassetto"/>
        </w:rPr>
      </w:pPr>
    </w:p>
    <w:tbl>
      <w:tblPr>
        <w:tblStyle w:val="Grigliatabella"/>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3544"/>
      </w:tblGrid>
      <w:tr w:rsidR="0037142E" w:rsidRPr="00863043" w14:paraId="2F3B7F17" w14:textId="77777777" w:rsidTr="00C431A7">
        <w:tc>
          <w:tcPr>
            <w:tcW w:w="4111" w:type="dxa"/>
          </w:tcPr>
          <w:p w14:paraId="638008AC" w14:textId="77777777" w:rsidR="0037142E" w:rsidRPr="00D242FD" w:rsidRDefault="0037142E" w:rsidP="00C431A7">
            <w:pPr>
              <w:autoSpaceDE w:val="0"/>
              <w:autoSpaceDN w:val="0"/>
              <w:adjustRightInd w:val="0"/>
              <w:spacing w:before="0"/>
              <w:ind w:right="282"/>
              <w:rPr>
                <w:rStyle w:val="Enfasigrassetto"/>
                <w:lang w:val="en-GB"/>
              </w:rPr>
            </w:pPr>
            <w:r w:rsidRPr="00D242FD">
              <w:rPr>
                <w:rStyle w:val="Enfasigrassetto"/>
                <w:lang w:val="en-GB"/>
              </w:rPr>
              <w:t>Dr. Axel Lüdeke</w:t>
            </w:r>
          </w:p>
          <w:p w14:paraId="41D98CD2" w14:textId="77777777" w:rsidR="0037142E" w:rsidRPr="00D242FD" w:rsidRDefault="0037142E" w:rsidP="00C431A7">
            <w:pPr>
              <w:autoSpaceDE w:val="0"/>
              <w:autoSpaceDN w:val="0"/>
              <w:adjustRightInd w:val="0"/>
              <w:spacing w:before="0"/>
              <w:ind w:right="282"/>
              <w:rPr>
                <w:lang w:val="en-GB"/>
              </w:rPr>
            </w:pPr>
            <w:r w:rsidRPr="00D242FD">
              <w:rPr>
                <w:lang w:val="en-GB"/>
              </w:rPr>
              <w:t>Head of Group Communications</w:t>
            </w:r>
            <w:r w:rsidRPr="00D242FD">
              <w:rPr>
                <w:lang w:val="en-GB"/>
              </w:rPr>
              <w:br/>
              <w:t xml:space="preserve">&amp; Public Affairs </w:t>
            </w:r>
          </w:p>
          <w:p w14:paraId="51FC2210" w14:textId="77777777" w:rsidR="0037142E" w:rsidRPr="00D242FD" w:rsidRDefault="0037142E" w:rsidP="00C431A7">
            <w:pPr>
              <w:autoSpaceDE w:val="0"/>
              <w:autoSpaceDN w:val="0"/>
              <w:adjustRightInd w:val="0"/>
              <w:spacing w:before="0"/>
              <w:ind w:right="282"/>
              <w:rPr>
                <w:lang w:val="de-DE"/>
              </w:rPr>
            </w:pPr>
            <w:r w:rsidRPr="00D242FD">
              <w:rPr>
                <w:lang w:val="de-DE"/>
              </w:rPr>
              <w:t xml:space="preserve">Schaeffler AG, Herzogenaurach, </w:t>
            </w:r>
          </w:p>
          <w:p w14:paraId="50B3AE7B" w14:textId="77777777" w:rsidR="0037142E" w:rsidRPr="00D242FD" w:rsidRDefault="0037142E" w:rsidP="00C431A7">
            <w:pPr>
              <w:autoSpaceDE w:val="0"/>
              <w:autoSpaceDN w:val="0"/>
              <w:adjustRightInd w:val="0"/>
              <w:spacing w:before="0"/>
              <w:ind w:right="282"/>
              <w:rPr>
                <w:lang w:val="de-DE"/>
              </w:rPr>
            </w:pPr>
            <w:r w:rsidRPr="00D242FD">
              <w:rPr>
                <w:lang w:val="de-DE"/>
              </w:rPr>
              <w:t>Germany</w:t>
            </w:r>
          </w:p>
          <w:p w14:paraId="18398964" w14:textId="77777777" w:rsidR="0037142E" w:rsidRPr="00D242FD" w:rsidRDefault="0037142E" w:rsidP="00C431A7">
            <w:pPr>
              <w:ind w:right="282"/>
              <w:rPr>
                <w:lang w:val="de-DE"/>
              </w:rPr>
            </w:pPr>
            <w:r>
              <w:rPr>
                <w:noProof/>
              </w:rPr>
              <w:drawing>
                <wp:inline distT="0" distB="0" distL="0" distR="0" wp14:anchorId="6B105265" wp14:editId="6C35DFB4">
                  <wp:extent cx="129600" cy="129600"/>
                  <wp:effectExtent l="0" t="0" r="381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hone_rgb.png"/>
                          <pic:cNvPicPr/>
                        </pic:nvPicPr>
                        <pic:blipFill>
                          <a:blip r:embed="rId12" cstate="screen">
                            <a:extLst>
                              <a:ext uri="{28A0092B-C50C-407E-A947-70E740481C1C}">
                                <a14:useLocalDpi xmlns:a14="http://schemas.microsoft.com/office/drawing/2010/main"/>
                              </a:ext>
                            </a:extLst>
                          </a:blip>
                          <a:stretch>
                            <a:fillRect/>
                          </a:stretch>
                        </pic:blipFill>
                        <pic:spPr>
                          <a:xfrm>
                            <a:off x="0" y="0"/>
                            <a:ext cx="129600" cy="129600"/>
                          </a:xfrm>
                          <a:prstGeom prst="rect">
                            <a:avLst/>
                          </a:prstGeom>
                        </pic:spPr>
                      </pic:pic>
                    </a:graphicData>
                  </a:graphic>
                </wp:inline>
              </w:drawing>
            </w:r>
            <w:r w:rsidRPr="00D242FD">
              <w:rPr>
                <w:lang w:val="de-DE"/>
              </w:rPr>
              <w:t xml:space="preserve"> +49 9132 82 8901</w:t>
            </w:r>
          </w:p>
          <w:p w14:paraId="72587999" w14:textId="77777777" w:rsidR="0037142E" w:rsidRPr="00D242FD" w:rsidRDefault="0037142E" w:rsidP="00C431A7">
            <w:pPr>
              <w:spacing w:before="0"/>
              <w:ind w:right="282"/>
              <w:rPr>
                <w:rStyle w:val="Collegamentoipertestuale"/>
                <w:lang w:val="de-DE"/>
              </w:rPr>
            </w:pPr>
            <w:r>
              <w:rPr>
                <w:noProof/>
                <w:sz w:val="20"/>
              </w:rPr>
              <w:drawing>
                <wp:inline distT="0" distB="0" distL="0" distR="0" wp14:anchorId="69D3F5B3" wp14:editId="0385B0DE">
                  <wp:extent cx="136800" cy="93600"/>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il_rgb.png"/>
                          <pic:cNvPicPr/>
                        </pic:nvPicPr>
                        <pic:blipFill>
                          <a:blip r:embed="rId13" cstate="screen">
                            <a:extLst>
                              <a:ext uri="{28A0092B-C50C-407E-A947-70E740481C1C}">
                                <a14:useLocalDpi xmlns:a14="http://schemas.microsoft.com/office/drawing/2010/main"/>
                              </a:ext>
                            </a:extLst>
                          </a:blip>
                          <a:stretch>
                            <a:fillRect/>
                          </a:stretch>
                        </pic:blipFill>
                        <pic:spPr>
                          <a:xfrm>
                            <a:off x="0" y="0"/>
                            <a:ext cx="136800" cy="93600"/>
                          </a:xfrm>
                          <a:prstGeom prst="rect">
                            <a:avLst/>
                          </a:prstGeom>
                        </pic:spPr>
                      </pic:pic>
                    </a:graphicData>
                  </a:graphic>
                </wp:inline>
              </w:drawing>
            </w:r>
            <w:r w:rsidRPr="00D242FD">
              <w:rPr>
                <w:sz w:val="20"/>
                <w:lang w:val="de-DE"/>
              </w:rPr>
              <w:t xml:space="preserve">  </w:t>
            </w:r>
            <w:hyperlink r:id="rId14" w:history="1">
              <w:r w:rsidRPr="00D242FD">
                <w:rPr>
                  <w:rStyle w:val="Collegamentoipertestuale"/>
                  <w:lang w:val="de-DE"/>
                </w:rPr>
                <w:t>axel.luedeke@schaeffler.com</w:t>
              </w:r>
            </w:hyperlink>
          </w:p>
          <w:p w14:paraId="473DCC3B" w14:textId="77777777" w:rsidR="0037142E" w:rsidRPr="00A503C4" w:rsidRDefault="0037142E" w:rsidP="00C431A7">
            <w:pPr>
              <w:spacing w:before="0"/>
              <w:ind w:right="282"/>
              <w:rPr>
                <w:rStyle w:val="Enfasigrassetto"/>
                <w:b w:val="0"/>
                <w:bCs w:val="0"/>
                <w:color w:val="00893D" w:themeColor="background2"/>
                <w:sz w:val="32"/>
                <w:szCs w:val="32"/>
                <w:lang w:val="de-DE"/>
              </w:rPr>
            </w:pPr>
          </w:p>
        </w:tc>
        <w:tc>
          <w:tcPr>
            <w:tcW w:w="3544" w:type="dxa"/>
          </w:tcPr>
          <w:p w14:paraId="28D0D1C5" w14:textId="77777777" w:rsidR="0037142E" w:rsidRPr="00D242FD" w:rsidRDefault="0037142E" w:rsidP="00C431A7">
            <w:pPr>
              <w:autoSpaceDE w:val="0"/>
              <w:autoSpaceDN w:val="0"/>
              <w:adjustRightInd w:val="0"/>
              <w:spacing w:before="0"/>
              <w:ind w:left="144"/>
              <w:rPr>
                <w:rStyle w:val="Enfasigrassetto"/>
                <w:lang w:val="en-GB"/>
              </w:rPr>
            </w:pPr>
            <w:r w:rsidRPr="00D242FD">
              <w:rPr>
                <w:rStyle w:val="Enfasigrassetto"/>
                <w:lang w:val="en-GB"/>
              </w:rPr>
              <w:t>Heiko Eber</w:t>
            </w:r>
          </w:p>
          <w:p w14:paraId="6E0C4057" w14:textId="77777777" w:rsidR="0037142E" w:rsidRPr="00D242FD" w:rsidRDefault="0037142E" w:rsidP="00C431A7">
            <w:pPr>
              <w:autoSpaceDE w:val="0"/>
              <w:autoSpaceDN w:val="0"/>
              <w:adjustRightInd w:val="0"/>
              <w:spacing w:before="0"/>
              <w:ind w:left="144"/>
              <w:rPr>
                <w:lang w:val="en-GB"/>
              </w:rPr>
            </w:pPr>
            <w:r w:rsidRPr="00D242FD">
              <w:rPr>
                <w:lang w:val="en-GB"/>
              </w:rPr>
              <w:t>Head of Investor Relations</w:t>
            </w:r>
            <w:r w:rsidRPr="00D242FD">
              <w:rPr>
                <w:lang w:val="en-GB"/>
              </w:rPr>
              <w:br/>
            </w:r>
          </w:p>
          <w:p w14:paraId="670D3846" w14:textId="77777777" w:rsidR="0037142E" w:rsidRPr="00D242FD" w:rsidRDefault="0037142E" w:rsidP="00C431A7">
            <w:pPr>
              <w:autoSpaceDE w:val="0"/>
              <w:autoSpaceDN w:val="0"/>
              <w:adjustRightInd w:val="0"/>
              <w:spacing w:before="0"/>
              <w:ind w:left="144"/>
              <w:rPr>
                <w:lang w:val="de-DE"/>
              </w:rPr>
            </w:pPr>
            <w:r w:rsidRPr="00D242FD">
              <w:rPr>
                <w:lang w:val="de-DE"/>
              </w:rPr>
              <w:t>Schaeffler AG, Herzogenaurach, Germany</w:t>
            </w:r>
          </w:p>
          <w:p w14:paraId="0134BA36" w14:textId="77777777" w:rsidR="0037142E" w:rsidRPr="00D242FD" w:rsidRDefault="0037142E" w:rsidP="00C431A7">
            <w:pPr>
              <w:ind w:left="144" w:right="284"/>
              <w:rPr>
                <w:rStyle w:val="Collegamentoipertestuale"/>
                <w:lang w:val="de-DE"/>
              </w:rPr>
            </w:pPr>
            <w:r>
              <w:rPr>
                <w:noProof/>
              </w:rPr>
              <w:drawing>
                <wp:inline distT="0" distB="0" distL="0" distR="0" wp14:anchorId="3ADEEA26" wp14:editId="14C981CF">
                  <wp:extent cx="129540" cy="129540"/>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29540" cy="129540"/>
                          </a:xfrm>
                          <a:prstGeom prst="rect">
                            <a:avLst/>
                          </a:prstGeom>
                          <a:noFill/>
                          <a:ln>
                            <a:noFill/>
                          </a:ln>
                        </pic:spPr>
                      </pic:pic>
                    </a:graphicData>
                  </a:graphic>
                </wp:inline>
              </w:drawing>
            </w:r>
            <w:r w:rsidRPr="00D242FD">
              <w:rPr>
                <w:lang w:val="de-DE"/>
              </w:rPr>
              <w:t xml:space="preserve"> +49 9132 82 88125</w:t>
            </w:r>
            <w:r w:rsidRPr="00D242FD">
              <w:rPr>
                <w:lang w:val="de-DE"/>
              </w:rPr>
              <w:br/>
            </w:r>
            <w:r>
              <w:rPr>
                <w:noProof/>
                <w:sz w:val="20"/>
              </w:rPr>
              <w:drawing>
                <wp:inline distT="0" distB="0" distL="0" distR="0" wp14:anchorId="1185990D" wp14:editId="4D4D39B3">
                  <wp:extent cx="136800" cy="9360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il_rgb.png"/>
                          <pic:cNvPicPr/>
                        </pic:nvPicPr>
                        <pic:blipFill>
                          <a:blip r:embed="rId13" cstate="screen">
                            <a:extLst>
                              <a:ext uri="{28A0092B-C50C-407E-A947-70E740481C1C}">
                                <a14:useLocalDpi xmlns:a14="http://schemas.microsoft.com/office/drawing/2010/main"/>
                              </a:ext>
                            </a:extLst>
                          </a:blip>
                          <a:stretch>
                            <a:fillRect/>
                          </a:stretch>
                        </pic:blipFill>
                        <pic:spPr>
                          <a:xfrm>
                            <a:off x="0" y="0"/>
                            <a:ext cx="136800" cy="93600"/>
                          </a:xfrm>
                          <a:prstGeom prst="rect">
                            <a:avLst/>
                          </a:prstGeom>
                        </pic:spPr>
                      </pic:pic>
                    </a:graphicData>
                  </a:graphic>
                </wp:inline>
              </w:drawing>
            </w:r>
            <w:r w:rsidRPr="00D242FD">
              <w:rPr>
                <w:sz w:val="20"/>
                <w:lang w:val="de-DE"/>
              </w:rPr>
              <w:t xml:space="preserve">  </w:t>
            </w:r>
            <w:hyperlink r:id="rId15" w:history="1">
              <w:r w:rsidRPr="00D242FD">
                <w:rPr>
                  <w:rStyle w:val="Collegamentoipertestuale"/>
                  <w:lang w:val="de-DE"/>
                </w:rPr>
                <w:t>heiko.eber@schaeffler.com</w:t>
              </w:r>
            </w:hyperlink>
          </w:p>
          <w:p w14:paraId="5ED868DB" w14:textId="77777777" w:rsidR="0037142E" w:rsidRPr="00A503C4" w:rsidRDefault="0037142E" w:rsidP="00C431A7">
            <w:pPr>
              <w:spacing w:before="0"/>
              <w:ind w:left="144"/>
              <w:rPr>
                <w:rStyle w:val="Enfasigrassetto"/>
                <w:sz w:val="20"/>
                <w:szCs w:val="20"/>
                <w:lang w:val="de-DE"/>
              </w:rPr>
            </w:pPr>
          </w:p>
        </w:tc>
      </w:tr>
      <w:tr w:rsidR="0037142E" w:rsidRPr="00715A0E" w14:paraId="29EA2F4C" w14:textId="77777777" w:rsidTr="00C431A7">
        <w:tc>
          <w:tcPr>
            <w:tcW w:w="4111" w:type="dxa"/>
          </w:tcPr>
          <w:p w14:paraId="18875905" w14:textId="668EE60A" w:rsidR="0037142E" w:rsidRPr="00D242FD" w:rsidRDefault="0037142E" w:rsidP="00C431A7">
            <w:pPr>
              <w:autoSpaceDE w:val="0"/>
              <w:autoSpaceDN w:val="0"/>
              <w:adjustRightInd w:val="0"/>
              <w:rPr>
                <w:sz w:val="18"/>
                <w:szCs w:val="18"/>
                <w:lang w:val="en-GB"/>
              </w:rPr>
            </w:pPr>
            <w:r w:rsidRPr="00D242FD">
              <w:rPr>
                <w:rStyle w:val="Enfasigrassetto"/>
                <w:lang w:val="en-GB"/>
              </w:rPr>
              <w:t>Matthias Herms</w:t>
            </w:r>
            <w:r w:rsidRPr="00D242FD">
              <w:rPr>
                <w:rStyle w:val="Enfasigrassetto"/>
                <w:lang w:val="en-GB"/>
              </w:rPr>
              <w:br/>
            </w:r>
            <w:r w:rsidRPr="00D242FD">
              <w:rPr>
                <w:lang w:val="en-GB"/>
              </w:rPr>
              <w:t>Head of Communications Finance, CSR &amp; Sustainability</w:t>
            </w:r>
            <w:r w:rsidRPr="00D242FD">
              <w:rPr>
                <w:lang w:val="en-GB"/>
              </w:rPr>
              <w:br/>
              <w:t>Schaeffler AG, Herzogenaurach, Germany</w:t>
            </w:r>
            <w:r w:rsidRPr="00D242FD">
              <w:rPr>
                <w:lang w:val="en-GB"/>
              </w:rPr>
              <w:br/>
            </w:r>
          </w:p>
          <w:p w14:paraId="1B6EC91E" w14:textId="77777777" w:rsidR="0037142E" w:rsidRPr="00715A0E" w:rsidRDefault="0037142E" w:rsidP="00C431A7">
            <w:pPr>
              <w:autoSpaceDE w:val="0"/>
              <w:autoSpaceDN w:val="0"/>
              <w:adjustRightInd w:val="0"/>
              <w:spacing w:before="0"/>
              <w:ind w:right="282"/>
              <w:rPr>
                <w:rStyle w:val="Enfasigrassetto"/>
              </w:rPr>
            </w:pPr>
            <w:r>
              <w:rPr>
                <w:noProof/>
                <w:sz w:val="20"/>
              </w:rPr>
              <w:drawing>
                <wp:inline distT="0" distB="0" distL="0" distR="0" wp14:anchorId="26AB67CA" wp14:editId="18B9691B">
                  <wp:extent cx="129600" cy="129600"/>
                  <wp:effectExtent l="0" t="0" r="3810" b="381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hone_rgb.png"/>
                          <pic:cNvPicPr/>
                        </pic:nvPicPr>
                        <pic:blipFill>
                          <a:blip r:embed="rId12" cstate="screen">
                            <a:extLst>
                              <a:ext uri="{28A0092B-C50C-407E-A947-70E740481C1C}">
                                <a14:useLocalDpi xmlns:a14="http://schemas.microsoft.com/office/drawing/2010/main"/>
                              </a:ext>
                            </a:extLst>
                          </a:blip>
                          <a:stretch>
                            <a:fillRect/>
                          </a:stretch>
                        </pic:blipFill>
                        <pic:spPr>
                          <a:xfrm>
                            <a:off x="0" y="0"/>
                            <a:ext cx="129600" cy="129600"/>
                          </a:xfrm>
                          <a:prstGeom prst="rect">
                            <a:avLst/>
                          </a:prstGeom>
                        </pic:spPr>
                      </pic:pic>
                    </a:graphicData>
                  </a:graphic>
                </wp:inline>
              </w:drawing>
            </w:r>
            <w:r>
              <w:rPr>
                <w:sz w:val="20"/>
              </w:rPr>
              <w:t xml:space="preserve">  </w:t>
            </w:r>
            <w:r>
              <w:t>+49 9132 82 37314</w:t>
            </w:r>
            <w:r>
              <w:br/>
            </w:r>
            <w:r>
              <w:rPr>
                <w:noProof/>
              </w:rPr>
              <w:drawing>
                <wp:inline distT="0" distB="0" distL="0" distR="0" wp14:anchorId="1C01F78B" wp14:editId="128254F5">
                  <wp:extent cx="136800" cy="93600"/>
                  <wp:effectExtent l="0" t="0" r="0" b="190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il_rgb.png"/>
                          <pic:cNvPicPr/>
                        </pic:nvPicPr>
                        <pic:blipFill>
                          <a:blip r:embed="rId13" cstate="screen">
                            <a:extLst>
                              <a:ext uri="{28A0092B-C50C-407E-A947-70E740481C1C}">
                                <a14:useLocalDpi xmlns:a14="http://schemas.microsoft.com/office/drawing/2010/main"/>
                              </a:ext>
                            </a:extLst>
                          </a:blip>
                          <a:stretch>
                            <a:fillRect/>
                          </a:stretch>
                        </pic:blipFill>
                        <pic:spPr>
                          <a:xfrm>
                            <a:off x="0" y="0"/>
                            <a:ext cx="136800" cy="93600"/>
                          </a:xfrm>
                          <a:prstGeom prst="rect">
                            <a:avLst/>
                          </a:prstGeom>
                        </pic:spPr>
                      </pic:pic>
                    </a:graphicData>
                  </a:graphic>
                </wp:inline>
              </w:drawing>
            </w:r>
            <w:r>
              <w:t xml:space="preserve">  </w:t>
            </w:r>
            <w:hyperlink r:id="rId16" w:history="1">
              <w:r>
                <w:rPr>
                  <w:rStyle w:val="Collegamentoipertestuale"/>
                </w:rPr>
                <w:t>matthias.herms@schaeffler.com</w:t>
              </w:r>
            </w:hyperlink>
            <w:r>
              <w:rPr>
                <w:sz w:val="20"/>
              </w:rPr>
              <w:br/>
            </w:r>
          </w:p>
        </w:tc>
        <w:tc>
          <w:tcPr>
            <w:tcW w:w="3544" w:type="dxa"/>
          </w:tcPr>
          <w:p w14:paraId="4DAABB8F" w14:textId="470230C6" w:rsidR="0037142E" w:rsidRPr="00715A0E" w:rsidRDefault="0037142E" w:rsidP="00C431A7">
            <w:pPr>
              <w:autoSpaceDE w:val="0"/>
              <w:autoSpaceDN w:val="0"/>
              <w:adjustRightInd w:val="0"/>
              <w:spacing w:before="0"/>
              <w:ind w:left="144"/>
              <w:rPr>
                <w:rStyle w:val="Enfasigrassetto"/>
              </w:rPr>
            </w:pPr>
            <w:r>
              <w:rPr>
                <w:color w:val="00893D" w:themeColor="background2"/>
              </w:rPr>
              <w:br/>
            </w:r>
          </w:p>
        </w:tc>
      </w:tr>
    </w:tbl>
    <w:p w14:paraId="182541FD" w14:textId="77777777" w:rsidR="0037142E" w:rsidRPr="00715A0E" w:rsidRDefault="0037142E" w:rsidP="0037142E">
      <w:pPr>
        <w:pStyle w:val="Hinweis"/>
        <w:rPr>
          <w:lang w:val="de-DE"/>
        </w:rPr>
      </w:pPr>
    </w:p>
    <w:p w14:paraId="68615668" w14:textId="77777777" w:rsidR="0037142E" w:rsidRPr="00473800" w:rsidRDefault="0037142E" w:rsidP="0037142E">
      <w:pPr>
        <w:pStyle w:val="Hinweis"/>
      </w:pPr>
      <w:r>
        <w:rPr>
          <w:noProof/>
        </w:rPr>
        <mc:AlternateContent>
          <mc:Choice Requires="wps">
            <w:drawing>
              <wp:anchor distT="0" distB="0" distL="114300" distR="114300" simplePos="0" relativeHeight="251658242" behindDoc="0" locked="0" layoutInCell="1" allowOverlap="1" wp14:anchorId="3BC30A45" wp14:editId="446DBAC7">
                <wp:simplePos x="0" y="0"/>
                <wp:positionH relativeFrom="column">
                  <wp:posOffset>0</wp:posOffset>
                </wp:positionH>
                <wp:positionV relativeFrom="paragraph">
                  <wp:posOffset>0</wp:posOffset>
                </wp:positionV>
                <wp:extent cx="4681728"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681728" cy="0"/>
                        </a:xfrm>
                        <a:prstGeom prst="line">
                          <a:avLst/>
                        </a:prstGeom>
                        <a:ln w="6350">
                          <a:solidFill>
                            <a:schemeClr val="accent6">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B9D241" id="Straight Connector 4"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" strokecolor="#5d4d4c [2409]" strokeweight=".5pt"/>
            </w:pict>
          </mc:Fallback>
        </mc:AlternateContent>
      </w:r>
    </w:p>
    <w:p w14:paraId="2A7BAA5B" w14:textId="77777777" w:rsidR="00591579" w:rsidRPr="00185D94" w:rsidRDefault="00591579" w:rsidP="00591579">
      <w:pPr>
        <w:spacing w:line="240" w:lineRule="auto"/>
      </w:pPr>
      <w:bookmarkStart w:id="1" w:name="_Hlk149827070"/>
      <w:r>
        <w:rPr>
          <w:noProof/>
        </w:rPr>
        <w:drawing>
          <wp:inline distT="0" distB="0" distL="0" distR="0" wp14:anchorId="654331AC" wp14:editId="5DD5760D">
            <wp:extent cx="252000" cy="252000"/>
            <wp:effectExtent l="0" t="0" r="0" b="0"/>
            <wp:docPr id="15" name="Grafik 1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a:hlinkClick r:id="rId17"/>
                    </pic:cNvPr>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r>
        <w:t xml:space="preserve">    </w:t>
      </w:r>
      <w:r>
        <w:rPr>
          <w:rFonts w:ascii="Calibri" w:hAnsi="Calibri"/>
          <w:noProof/>
        </w:rPr>
        <w:drawing>
          <wp:inline distT="0" distB="0" distL="0" distR="0" wp14:anchorId="611EBBB8" wp14:editId="73146A5E">
            <wp:extent cx="252000" cy="252000"/>
            <wp:effectExtent l="0" t="0" r="0" b="0"/>
            <wp:docPr id="17" name="Grafik 1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hlinkClick r:id="rId19"/>
                    </pic:cNvPr>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r>
        <w:t xml:space="preserve">    </w:t>
      </w:r>
      <w:r>
        <w:rPr>
          <w:noProof/>
        </w:rPr>
        <w:drawing>
          <wp:inline distT="0" distB="0" distL="0" distR="0" wp14:anchorId="714180E5" wp14:editId="78FACEFE">
            <wp:extent cx="248889" cy="252000"/>
            <wp:effectExtent l="0" t="0" r="0" b="0"/>
            <wp:docPr id="28" name="Grafik 2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21"/>
                    </pic:cNvPr>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48889" cy="252000"/>
                    </a:xfrm>
                    <a:prstGeom prst="rect">
                      <a:avLst/>
                    </a:prstGeom>
                    <a:noFill/>
                    <a:ln>
                      <a:noFill/>
                    </a:ln>
                  </pic:spPr>
                </pic:pic>
              </a:graphicData>
            </a:graphic>
          </wp:inline>
        </w:drawing>
      </w:r>
      <w:r>
        <w:t xml:space="preserve">    </w:t>
      </w:r>
      <w:r>
        <w:rPr>
          <w:rFonts w:ascii="Calibri" w:hAnsi="Calibri"/>
          <w:noProof/>
        </w:rPr>
        <w:drawing>
          <wp:inline distT="0" distB="0" distL="0" distR="0" wp14:anchorId="48E3E594" wp14:editId="69EB299E">
            <wp:extent cx="252000" cy="252000"/>
            <wp:effectExtent l="0" t="0" r="0" b="0"/>
            <wp:docPr id="21" name="Grafik 2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hlinkClick r:id="rId23"/>
                    </pic:cNvPr>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r>
        <w:t xml:space="preserve">    </w:t>
      </w:r>
      <w:r>
        <w:rPr>
          <w:noProof/>
        </w:rPr>
        <w:drawing>
          <wp:inline distT="0" distB="0" distL="0" distR="0" wp14:anchorId="7DA87DD8" wp14:editId="43F0B371">
            <wp:extent cx="252000" cy="252000"/>
            <wp:effectExtent l="0" t="0" r="0" b="0"/>
            <wp:docPr id="29" name="Grafik 29">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25"/>
                    </pic:cNvPr>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r>
        <w:t xml:space="preserve">    </w:t>
      </w:r>
      <w:r>
        <w:rPr>
          <w:noProof/>
        </w:rPr>
        <w:drawing>
          <wp:inline distT="0" distB="0" distL="0" distR="0" wp14:anchorId="0420C627" wp14:editId="785E804F">
            <wp:extent cx="252000" cy="252000"/>
            <wp:effectExtent l="0" t="0" r="0" b="0"/>
            <wp:docPr id="30" name="Grafik 3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hlinkClick r:id="rId27"/>
                    </pic:cNvPr>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bookmarkEnd w:id="1"/>
    </w:p>
    <w:p w14:paraId="0673388F" w14:textId="37ED3C82" w:rsidR="00993A43" w:rsidRPr="00715A0E" w:rsidRDefault="00993A43" w:rsidP="0037142E">
      <w:pPr>
        <w:pStyle w:val="Hinweisfett"/>
        <w:jc w:val="both"/>
        <w:rPr>
          <w:rFonts w:ascii="Calibri" w:hAnsi="Calibri"/>
        </w:rPr>
      </w:pPr>
    </w:p>
    <w:sectPr w:rsidR="00993A43" w:rsidRPr="00715A0E" w:rsidSect="0033108C">
      <w:headerReference w:type="default" r:id="rId29"/>
      <w:footerReference w:type="default" r:id="rId30"/>
      <w:headerReference w:type="first" r:id="rId31"/>
      <w:footerReference w:type="first" r:id="rId32"/>
      <w:type w:val="continuous"/>
      <w:pgSz w:w="11906" w:h="16838" w:code="9"/>
      <w:pgMar w:top="2126" w:right="3175" w:bottom="567" w:left="1361" w:header="90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0580" w14:textId="77777777" w:rsidR="0038091C" w:rsidRDefault="0038091C" w:rsidP="00DF6567">
      <w:pPr>
        <w:spacing w:line="240" w:lineRule="auto"/>
      </w:pPr>
      <w:r>
        <w:separator/>
      </w:r>
    </w:p>
  </w:endnote>
  <w:endnote w:type="continuationSeparator" w:id="0">
    <w:p w14:paraId="23079238" w14:textId="77777777" w:rsidR="0038091C" w:rsidRDefault="0038091C" w:rsidP="00DF6567">
      <w:pPr>
        <w:spacing w:line="240" w:lineRule="auto"/>
      </w:pPr>
      <w:r>
        <w:continuationSeparator/>
      </w:r>
    </w:p>
  </w:endnote>
  <w:endnote w:type="continuationNotice" w:id="1">
    <w:p w14:paraId="1C6DBF43" w14:textId="77777777" w:rsidR="0038091C" w:rsidRDefault="0038091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7735" w14:textId="4B56DDFB" w:rsidR="00C431A7" w:rsidRDefault="0038091C" w:rsidP="000A262F">
    <w:pPr>
      <w:pStyle w:val="BU"/>
    </w:pPr>
    <w:sdt>
      <w:sdtPr>
        <w:id w:val="-964120898"/>
        <w:docPartObj>
          <w:docPartGallery w:val="Page Numbers (Bottom of Page)"/>
          <w:docPartUnique/>
        </w:docPartObj>
      </w:sdtPr>
      <w:sdtEndPr/>
      <w:sdtContent>
        <w:r w:rsidR="00C431A7" w:rsidRPr="00AB5AB6">
          <w:fldChar w:fldCharType="begin"/>
        </w:r>
        <w:r w:rsidR="00C431A7" w:rsidRPr="00AB5AB6">
          <w:instrText>PAGE   \* MERGEFORMAT</w:instrText>
        </w:r>
        <w:r w:rsidR="00C431A7" w:rsidRPr="00AB5AB6">
          <w:fldChar w:fldCharType="separate"/>
        </w:r>
        <w:r w:rsidR="00715A0E">
          <w:t>4</w:t>
        </w:r>
        <w:r w:rsidR="00C431A7" w:rsidRPr="00AB5AB6">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9D6C" w14:textId="21336282" w:rsidR="00C431A7" w:rsidRDefault="0038091C" w:rsidP="000A262F">
    <w:pPr>
      <w:pStyle w:val="BU"/>
    </w:pPr>
    <w:sdt>
      <w:sdtPr>
        <w:id w:val="139475280"/>
        <w:docPartObj>
          <w:docPartGallery w:val="Page Numbers (Bottom of Page)"/>
          <w:docPartUnique/>
        </w:docPartObj>
      </w:sdtPr>
      <w:sdtEndPr/>
      <w:sdtContent>
        <w:r w:rsidR="00C431A7">
          <w:fldChar w:fldCharType="begin"/>
        </w:r>
        <w:r w:rsidR="00C431A7">
          <w:instrText>PAGE   \* MERGEFORMAT</w:instrText>
        </w:r>
        <w:r w:rsidR="00C431A7">
          <w:fldChar w:fldCharType="separate"/>
        </w:r>
        <w:r w:rsidR="000A11AC">
          <w:t>1</w:t>
        </w:r>
        <w:r w:rsidR="00C431A7">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2FF23" w14:textId="77777777" w:rsidR="0038091C" w:rsidRDefault="0038091C" w:rsidP="00DF6567">
      <w:pPr>
        <w:spacing w:line="240" w:lineRule="auto"/>
      </w:pPr>
      <w:r>
        <w:separator/>
      </w:r>
    </w:p>
  </w:footnote>
  <w:footnote w:type="continuationSeparator" w:id="0">
    <w:p w14:paraId="709A5C72" w14:textId="77777777" w:rsidR="0038091C" w:rsidRDefault="0038091C" w:rsidP="00DF6567">
      <w:pPr>
        <w:spacing w:line="240" w:lineRule="auto"/>
      </w:pPr>
      <w:r>
        <w:continuationSeparator/>
      </w:r>
    </w:p>
  </w:footnote>
  <w:footnote w:type="continuationNotice" w:id="1">
    <w:p w14:paraId="6F07EF59" w14:textId="77777777" w:rsidR="0038091C" w:rsidRDefault="0038091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8914" w14:textId="2E1C3138" w:rsidR="00C431A7" w:rsidRDefault="00C431A7" w:rsidP="007C0770">
    <w:pPr>
      <w:pStyle w:val="Intestazione"/>
      <w:tabs>
        <w:tab w:val="clear" w:pos="4536"/>
      </w:tabs>
    </w:pPr>
    <w:r>
      <w:rPr>
        <w:noProof/>
      </w:rPr>
      <w:drawing>
        <wp:anchor distT="0" distB="0" distL="114300" distR="114300" simplePos="0" relativeHeight="251658240" behindDoc="1" locked="1" layoutInCell="0" allowOverlap="1" wp14:anchorId="0A27EC47" wp14:editId="17072854">
          <wp:simplePos x="0" y="0"/>
          <wp:positionH relativeFrom="page">
            <wp:posOffset>5544820</wp:posOffset>
          </wp:positionH>
          <wp:positionV relativeFrom="page">
            <wp:posOffset>575945</wp:posOffset>
          </wp:positionV>
          <wp:extent cx="1440000" cy="162000"/>
          <wp:effectExtent l="0" t="0" r="8255"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SCHAEFFLER_cmyk_SZsm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16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1906" w14:textId="62318DA4" w:rsidR="00C431A7" w:rsidRDefault="00C431A7">
    <w:pPr>
      <w:pStyle w:val="Intestazione"/>
    </w:pPr>
    <w:r>
      <w:rPr>
        <w:noProof/>
      </w:rPr>
      <mc:AlternateContent>
        <mc:Choice Requires="wps">
          <w:drawing>
            <wp:anchor distT="0" distB="0" distL="114300" distR="114300" simplePos="0" relativeHeight="251658242" behindDoc="0" locked="1" layoutInCell="0" allowOverlap="1" wp14:anchorId="6FD69252" wp14:editId="64C7A7C8">
              <wp:simplePos x="0" y="0"/>
              <wp:positionH relativeFrom="page">
                <wp:posOffset>864235</wp:posOffset>
              </wp:positionH>
              <wp:positionV relativeFrom="page">
                <wp:posOffset>1771650</wp:posOffset>
              </wp:positionV>
              <wp:extent cx="208800" cy="1080000"/>
              <wp:effectExtent l="0" t="0" r="1270" b="6350"/>
              <wp:wrapNone/>
              <wp:docPr id="1" name="Rechteck 1"/>
              <wp:cNvGraphicFramePr/>
              <a:graphic xmlns:a="http://schemas.openxmlformats.org/drawingml/2006/main">
                <a:graphicData uri="http://schemas.microsoft.com/office/word/2010/wordprocessingShape">
                  <wps:wsp>
                    <wps:cNvSpPr/>
                    <wps:spPr>
                      <a:xfrm>
                        <a:off x="0" y="0"/>
                        <a:ext cx="208800" cy="108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7F666" id="Rechteck 1" o:spid="_x0000_s1026" style="position:absolute;margin-left:68.05pt;margin-top:139.5pt;width:16.45pt;height:85.0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" o:allowincell="f" fillcolor="#00893d [3214]" stroked="f" strokeweight="2pt">
              <w10:wrap anchorx="page" anchory="page"/>
              <w10:anchorlock/>
            </v:rect>
          </w:pict>
        </mc:Fallback>
      </mc:AlternateContent>
    </w:r>
    <w:r>
      <w:rPr>
        <w:noProof/>
      </w:rPr>
      <mc:AlternateContent>
        <mc:Choice Requires="wps">
          <w:drawing>
            <wp:anchor distT="45720" distB="45720" distL="114300" distR="114300" simplePos="0" relativeHeight="251658243" behindDoc="0" locked="1" layoutInCell="1" allowOverlap="1" wp14:anchorId="5C443FF7" wp14:editId="4B88D828">
              <wp:simplePos x="0" y="0"/>
              <wp:positionH relativeFrom="margin">
                <wp:align>left</wp:align>
              </wp:positionH>
              <wp:positionV relativeFrom="page">
                <wp:posOffset>860425</wp:posOffset>
              </wp:positionV>
              <wp:extent cx="2696400" cy="1404620"/>
              <wp:effectExtent l="0" t="0" r="8890" b="381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400" cy="1404620"/>
                      </a:xfrm>
                      <a:prstGeom prst="rect">
                        <a:avLst/>
                      </a:prstGeom>
                      <a:solidFill>
                        <a:srgbClr val="FFFFFF"/>
                      </a:solidFill>
                      <a:ln w="9525">
                        <a:noFill/>
                        <a:miter lim="800000"/>
                        <a:headEnd/>
                        <a:tailEnd/>
                      </a:ln>
                    </wps:spPr>
                    <wps:txbx>
                      <w:txbxContent>
                        <w:p w14:paraId="4A753E94" w14:textId="3ABB80D3" w:rsidR="00C431A7" w:rsidRPr="00D764A7" w:rsidRDefault="00C431A7" w:rsidP="00153B3F">
                          <w:pPr>
                            <w:spacing w:before="0" w:line="280" w:lineRule="exact"/>
                            <w:rPr>
                              <w:szCs w:val="20"/>
                            </w:rPr>
                          </w:pPr>
                          <w:r>
                            <w:t>Comunicato stampa e IR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43FF7" id="_x0000_t202" coordsize="21600,21600" o:spt="202" path="m,l,21600r21600,l21600,xe">
              <v:stroke joinstyle="miter"/>
              <v:path gradientshapeok="t" o:connecttype="rect"/>
            </v:shapetype>
            <v:shape id="Textfeld 2" o:spid="_x0000_s1026" type="#_x0000_t202" style="position:absolute;margin-left:0;margin-top:67.75pt;width:212.3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" stroked="f">
              <v:textbox style="mso-fit-shape-to-text:t" inset="0,0,0,0">
                <w:txbxContent>
                  <w:p w14:paraId="4A753E94" w14:textId="3ABB80D3" w:rsidR="00C431A7" w:rsidRPr="00D764A7" w:rsidRDefault="00C431A7" w:rsidP="00153B3F">
                    <w:pPr>
                      <w:spacing w:before="0" w:line="280" w:lineRule="exact"/>
                      <w:rPr>
                        <w:szCs w:val="20"/>
                      </w:rPr>
                    </w:pPr>
                    <w:r>
                      <w:t>Comunicato stampa e IR</w:t>
                    </w:r>
                  </w:p>
                </w:txbxContent>
              </v:textbox>
              <w10:wrap type="square" anchorx="margin" anchory="page"/>
              <w10:anchorlock/>
            </v:shape>
          </w:pict>
        </mc:Fallback>
      </mc:AlternateContent>
    </w:r>
    <w:r>
      <w:rPr>
        <w:noProof/>
      </w:rPr>
      <w:drawing>
        <wp:anchor distT="0" distB="0" distL="114300" distR="114300" simplePos="0" relativeHeight="251658241" behindDoc="1" locked="1" layoutInCell="0" allowOverlap="1" wp14:anchorId="3BE3A7A5" wp14:editId="389064DF">
          <wp:simplePos x="0" y="0"/>
          <wp:positionH relativeFrom="page">
            <wp:posOffset>5544820</wp:posOffset>
          </wp:positionH>
          <wp:positionV relativeFrom="page">
            <wp:posOffset>575945</wp:posOffset>
          </wp:positionV>
          <wp:extent cx="1440000" cy="162000"/>
          <wp:effectExtent l="0" t="0" r="8255"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SCHAEFFLER_cmyk_SZsm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16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B9639B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34E122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CA88660"/>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F5AD24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E48706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A26161"/>
    <w:multiLevelType w:val="hybridMultilevel"/>
    <w:tmpl w:val="9384A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800239"/>
    <w:multiLevelType w:val="hybridMultilevel"/>
    <w:tmpl w:val="5D7A67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3AF538D"/>
    <w:multiLevelType w:val="hybridMultilevel"/>
    <w:tmpl w:val="2A36AA32"/>
    <w:lvl w:ilvl="0" w:tplc="F552D5C6">
      <w:start w:val="1"/>
      <w:numFmt w:val="bullet"/>
      <w:pStyle w:val="Paragrafoelenco"/>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8" w15:restartNumberingAfterBreak="0">
    <w:nsid w:val="47FC59C3"/>
    <w:multiLevelType w:val="hybridMultilevel"/>
    <w:tmpl w:val="AC3C27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C83632"/>
    <w:multiLevelType w:val="hybridMultilevel"/>
    <w:tmpl w:val="CB90F1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BD36573"/>
    <w:multiLevelType w:val="hybridMultilevel"/>
    <w:tmpl w:val="C352B7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C142DB3"/>
    <w:multiLevelType w:val="hybridMultilevel"/>
    <w:tmpl w:val="F88A88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44276923">
    <w:abstractNumId w:val="6"/>
  </w:num>
  <w:num w:numId="2" w16cid:durableId="105125112">
    <w:abstractNumId w:val="5"/>
  </w:num>
  <w:num w:numId="3" w16cid:durableId="2105497241">
    <w:abstractNumId w:val="10"/>
  </w:num>
  <w:num w:numId="4" w16cid:durableId="405568131">
    <w:abstractNumId w:val="11"/>
  </w:num>
  <w:num w:numId="5" w16cid:durableId="1045057029">
    <w:abstractNumId w:val="8"/>
  </w:num>
  <w:num w:numId="6" w16cid:durableId="1469974733">
    <w:abstractNumId w:val="7"/>
  </w:num>
  <w:num w:numId="7" w16cid:durableId="1135221260">
    <w:abstractNumId w:val="9"/>
  </w:num>
  <w:num w:numId="8" w16cid:durableId="955138812">
    <w:abstractNumId w:val="4"/>
  </w:num>
  <w:num w:numId="9" w16cid:durableId="1252817250">
    <w:abstractNumId w:val="3"/>
  </w:num>
  <w:num w:numId="10" w16cid:durableId="1366100004">
    <w:abstractNumId w:val="2"/>
  </w:num>
  <w:num w:numId="11" w16cid:durableId="1767386936">
    <w:abstractNumId w:val="1"/>
  </w:num>
  <w:num w:numId="12" w16cid:durableId="1559393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4E62"/>
    <w:rsid w:val="000049AE"/>
    <w:rsid w:val="00015FD4"/>
    <w:rsid w:val="0002077D"/>
    <w:rsid w:val="00026162"/>
    <w:rsid w:val="0002634A"/>
    <w:rsid w:val="00044460"/>
    <w:rsid w:val="00045563"/>
    <w:rsid w:val="00047292"/>
    <w:rsid w:val="0005179F"/>
    <w:rsid w:val="000567D2"/>
    <w:rsid w:val="00062232"/>
    <w:rsid w:val="00075654"/>
    <w:rsid w:val="00076D39"/>
    <w:rsid w:val="00095AF9"/>
    <w:rsid w:val="000A11AC"/>
    <w:rsid w:val="000A183F"/>
    <w:rsid w:val="000A262F"/>
    <w:rsid w:val="000B75B7"/>
    <w:rsid w:val="000C57A5"/>
    <w:rsid w:val="000D3A25"/>
    <w:rsid w:val="000D4EED"/>
    <w:rsid w:val="000D58EE"/>
    <w:rsid w:val="000E100D"/>
    <w:rsid w:val="000E5D4A"/>
    <w:rsid w:val="000E67F0"/>
    <w:rsid w:val="000F2C16"/>
    <w:rsid w:val="000F7B27"/>
    <w:rsid w:val="00104FD7"/>
    <w:rsid w:val="00105DA7"/>
    <w:rsid w:val="00106786"/>
    <w:rsid w:val="001101DE"/>
    <w:rsid w:val="00113A4F"/>
    <w:rsid w:val="0012224C"/>
    <w:rsid w:val="0012719B"/>
    <w:rsid w:val="001325E7"/>
    <w:rsid w:val="0013382E"/>
    <w:rsid w:val="00140EA5"/>
    <w:rsid w:val="001446E8"/>
    <w:rsid w:val="00153B3F"/>
    <w:rsid w:val="00162450"/>
    <w:rsid w:val="0018624D"/>
    <w:rsid w:val="001909D1"/>
    <w:rsid w:val="001913C3"/>
    <w:rsid w:val="001A2241"/>
    <w:rsid w:val="001A4DFA"/>
    <w:rsid w:val="001B43A2"/>
    <w:rsid w:val="001D028C"/>
    <w:rsid w:val="001D0B38"/>
    <w:rsid w:val="001D481B"/>
    <w:rsid w:val="001D6794"/>
    <w:rsid w:val="001E00DC"/>
    <w:rsid w:val="001F0BB7"/>
    <w:rsid w:val="0020032C"/>
    <w:rsid w:val="00200ACC"/>
    <w:rsid w:val="002043A6"/>
    <w:rsid w:val="00204728"/>
    <w:rsid w:val="0021307F"/>
    <w:rsid w:val="0021612E"/>
    <w:rsid w:val="00220896"/>
    <w:rsid w:val="00221FC0"/>
    <w:rsid w:val="00222A79"/>
    <w:rsid w:val="00226573"/>
    <w:rsid w:val="002317C9"/>
    <w:rsid w:val="002615F8"/>
    <w:rsid w:val="00266394"/>
    <w:rsid w:val="002804C8"/>
    <w:rsid w:val="00291368"/>
    <w:rsid w:val="00296941"/>
    <w:rsid w:val="00297B14"/>
    <w:rsid w:val="002B3741"/>
    <w:rsid w:val="002D4ACF"/>
    <w:rsid w:val="002E68F4"/>
    <w:rsid w:val="002F71F8"/>
    <w:rsid w:val="0030051C"/>
    <w:rsid w:val="00300D11"/>
    <w:rsid w:val="003022D5"/>
    <w:rsid w:val="003060A0"/>
    <w:rsid w:val="003147CD"/>
    <w:rsid w:val="0032658C"/>
    <w:rsid w:val="0033108C"/>
    <w:rsid w:val="00331E06"/>
    <w:rsid w:val="00334632"/>
    <w:rsid w:val="00336E29"/>
    <w:rsid w:val="00363D99"/>
    <w:rsid w:val="0037142E"/>
    <w:rsid w:val="0037195E"/>
    <w:rsid w:val="00372B51"/>
    <w:rsid w:val="0038091C"/>
    <w:rsid w:val="00383290"/>
    <w:rsid w:val="00390428"/>
    <w:rsid w:val="00392F83"/>
    <w:rsid w:val="003B4199"/>
    <w:rsid w:val="003C2A2A"/>
    <w:rsid w:val="003C347B"/>
    <w:rsid w:val="003D7EE3"/>
    <w:rsid w:val="003E3227"/>
    <w:rsid w:val="00403AB5"/>
    <w:rsid w:val="00444D9C"/>
    <w:rsid w:val="0044790B"/>
    <w:rsid w:val="0045526D"/>
    <w:rsid w:val="004630FF"/>
    <w:rsid w:val="00473800"/>
    <w:rsid w:val="004740C9"/>
    <w:rsid w:val="00485D1B"/>
    <w:rsid w:val="004A4603"/>
    <w:rsid w:val="004A5DBD"/>
    <w:rsid w:val="004A7DBF"/>
    <w:rsid w:val="004B114C"/>
    <w:rsid w:val="004B2BCC"/>
    <w:rsid w:val="004B37CE"/>
    <w:rsid w:val="004B70EF"/>
    <w:rsid w:val="004C10EC"/>
    <w:rsid w:val="004C458A"/>
    <w:rsid w:val="004D4121"/>
    <w:rsid w:val="004D6DEC"/>
    <w:rsid w:val="004F0FDA"/>
    <w:rsid w:val="004F6407"/>
    <w:rsid w:val="004F752B"/>
    <w:rsid w:val="00501304"/>
    <w:rsid w:val="00504840"/>
    <w:rsid w:val="00506203"/>
    <w:rsid w:val="00506F77"/>
    <w:rsid w:val="00520B52"/>
    <w:rsid w:val="005232BD"/>
    <w:rsid w:val="005232D4"/>
    <w:rsid w:val="00523C0B"/>
    <w:rsid w:val="005254C5"/>
    <w:rsid w:val="00544163"/>
    <w:rsid w:val="005445BF"/>
    <w:rsid w:val="00591579"/>
    <w:rsid w:val="005926D5"/>
    <w:rsid w:val="005B089F"/>
    <w:rsid w:val="005D2320"/>
    <w:rsid w:val="005E13A7"/>
    <w:rsid w:val="005E4E62"/>
    <w:rsid w:val="005F148F"/>
    <w:rsid w:val="005F6947"/>
    <w:rsid w:val="0060005F"/>
    <w:rsid w:val="00600AC2"/>
    <w:rsid w:val="00617840"/>
    <w:rsid w:val="00622BF4"/>
    <w:rsid w:val="00624707"/>
    <w:rsid w:val="00641B00"/>
    <w:rsid w:val="006607A2"/>
    <w:rsid w:val="00665EF3"/>
    <w:rsid w:val="00675D36"/>
    <w:rsid w:val="00677A29"/>
    <w:rsid w:val="00682D46"/>
    <w:rsid w:val="00686D41"/>
    <w:rsid w:val="006914C0"/>
    <w:rsid w:val="006A05A8"/>
    <w:rsid w:val="006A1B6D"/>
    <w:rsid w:val="006A1FAA"/>
    <w:rsid w:val="006A5C61"/>
    <w:rsid w:val="006B2AF0"/>
    <w:rsid w:val="006B6318"/>
    <w:rsid w:val="006C4B4C"/>
    <w:rsid w:val="006D65F9"/>
    <w:rsid w:val="006E754B"/>
    <w:rsid w:val="006E77CB"/>
    <w:rsid w:val="00707B60"/>
    <w:rsid w:val="00715A0E"/>
    <w:rsid w:val="007166DE"/>
    <w:rsid w:val="0072428C"/>
    <w:rsid w:val="007267F7"/>
    <w:rsid w:val="00731BC9"/>
    <w:rsid w:val="00731ECC"/>
    <w:rsid w:val="00740A56"/>
    <w:rsid w:val="00755CE9"/>
    <w:rsid w:val="00764276"/>
    <w:rsid w:val="00766448"/>
    <w:rsid w:val="00782795"/>
    <w:rsid w:val="0078383D"/>
    <w:rsid w:val="0079072C"/>
    <w:rsid w:val="00796D7F"/>
    <w:rsid w:val="007975E0"/>
    <w:rsid w:val="007A31CF"/>
    <w:rsid w:val="007C0770"/>
    <w:rsid w:val="007C6729"/>
    <w:rsid w:val="007D0988"/>
    <w:rsid w:val="007F2239"/>
    <w:rsid w:val="007F37EA"/>
    <w:rsid w:val="00805EA2"/>
    <w:rsid w:val="0081556D"/>
    <w:rsid w:val="008201F9"/>
    <w:rsid w:val="00822061"/>
    <w:rsid w:val="0083030A"/>
    <w:rsid w:val="0083206E"/>
    <w:rsid w:val="00833877"/>
    <w:rsid w:val="00835B9B"/>
    <w:rsid w:val="00835BA1"/>
    <w:rsid w:val="008474A3"/>
    <w:rsid w:val="00851D1B"/>
    <w:rsid w:val="00857DD6"/>
    <w:rsid w:val="00860C29"/>
    <w:rsid w:val="00863043"/>
    <w:rsid w:val="00871B32"/>
    <w:rsid w:val="00895F28"/>
    <w:rsid w:val="00896A37"/>
    <w:rsid w:val="008C0BC7"/>
    <w:rsid w:val="008C14E3"/>
    <w:rsid w:val="008C3921"/>
    <w:rsid w:val="008E4FF3"/>
    <w:rsid w:val="009003C4"/>
    <w:rsid w:val="009031C8"/>
    <w:rsid w:val="00904836"/>
    <w:rsid w:val="00911F16"/>
    <w:rsid w:val="00914DF9"/>
    <w:rsid w:val="009214CD"/>
    <w:rsid w:val="009232BD"/>
    <w:rsid w:val="00924D17"/>
    <w:rsid w:val="00930324"/>
    <w:rsid w:val="00930BDD"/>
    <w:rsid w:val="009330C6"/>
    <w:rsid w:val="009371E7"/>
    <w:rsid w:val="0094100D"/>
    <w:rsid w:val="00943586"/>
    <w:rsid w:val="00944DCD"/>
    <w:rsid w:val="00947EA3"/>
    <w:rsid w:val="009560C2"/>
    <w:rsid w:val="00970775"/>
    <w:rsid w:val="00971DD3"/>
    <w:rsid w:val="00980A85"/>
    <w:rsid w:val="00984D26"/>
    <w:rsid w:val="009874B1"/>
    <w:rsid w:val="009938FD"/>
    <w:rsid w:val="00993A43"/>
    <w:rsid w:val="009966D4"/>
    <w:rsid w:val="00997A99"/>
    <w:rsid w:val="009A04AD"/>
    <w:rsid w:val="009A29DD"/>
    <w:rsid w:val="009A31C6"/>
    <w:rsid w:val="009A5847"/>
    <w:rsid w:val="009A6878"/>
    <w:rsid w:val="009B056E"/>
    <w:rsid w:val="009B137D"/>
    <w:rsid w:val="009D4214"/>
    <w:rsid w:val="009E24D2"/>
    <w:rsid w:val="009E29E2"/>
    <w:rsid w:val="009F1F8E"/>
    <w:rsid w:val="009F6D3C"/>
    <w:rsid w:val="00A07FF0"/>
    <w:rsid w:val="00A11665"/>
    <w:rsid w:val="00A1241E"/>
    <w:rsid w:val="00A154BD"/>
    <w:rsid w:val="00A24C80"/>
    <w:rsid w:val="00A24FA9"/>
    <w:rsid w:val="00A468F2"/>
    <w:rsid w:val="00A503C4"/>
    <w:rsid w:val="00A52770"/>
    <w:rsid w:val="00A544B3"/>
    <w:rsid w:val="00A56148"/>
    <w:rsid w:val="00A60018"/>
    <w:rsid w:val="00A73F1E"/>
    <w:rsid w:val="00A740BB"/>
    <w:rsid w:val="00A82D6A"/>
    <w:rsid w:val="00A833E0"/>
    <w:rsid w:val="00A83549"/>
    <w:rsid w:val="00AA4D9E"/>
    <w:rsid w:val="00AA58ED"/>
    <w:rsid w:val="00AB2AF8"/>
    <w:rsid w:val="00AB561A"/>
    <w:rsid w:val="00AB5AB6"/>
    <w:rsid w:val="00AC1C05"/>
    <w:rsid w:val="00AC5845"/>
    <w:rsid w:val="00AD0056"/>
    <w:rsid w:val="00AE4755"/>
    <w:rsid w:val="00B00195"/>
    <w:rsid w:val="00B0162B"/>
    <w:rsid w:val="00B043D9"/>
    <w:rsid w:val="00B05DA3"/>
    <w:rsid w:val="00B074D8"/>
    <w:rsid w:val="00B13126"/>
    <w:rsid w:val="00B174C1"/>
    <w:rsid w:val="00B1782B"/>
    <w:rsid w:val="00B2433A"/>
    <w:rsid w:val="00B26153"/>
    <w:rsid w:val="00B3280B"/>
    <w:rsid w:val="00B365E4"/>
    <w:rsid w:val="00B42AE5"/>
    <w:rsid w:val="00B45956"/>
    <w:rsid w:val="00B4677C"/>
    <w:rsid w:val="00B53C7D"/>
    <w:rsid w:val="00B6214D"/>
    <w:rsid w:val="00B726AE"/>
    <w:rsid w:val="00B74E76"/>
    <w:rsid w:val="00B8469E"/>
    <w:rsid w:val="00BA20A4"/>
    <w:rsid w:val="00BB54CA"/>
    <w:rsid w:val="00BC6214"/>
    <w:rsid w:val="00BC7B2C"/>
    <w:rsid w:val="00BD0C6F"/>
    <w:rsid w:val="00BD6A25"/>
    <w:rsid w:val="00BD77D0"/>
    <w:rsid w:val="00C07B14"/>
    <w:rsid w:val="00C11E0B"/>
    <w:rsid w:val="00C134C8"/>
    <w:rsid w:val="00C20EA4"/>
    <w:rsid w:val="00C23D42"/>
    <w:rsid w:val="00C23D99"/>
    <w:rsid w:val="00C25093"/>
    <w:rsid w:val="00C32B09"/>
    <w:rsid w:val="00C36B02"/>
    <w:rsid w:val="00C431A7"/>
    <w:rsid w:val="00C477BC"/>
    <w:rsid w:val="00C517DF"/>
    <w:rsid w:val="00C60001"/>
    <w:rsid w:val="00C60F4D"/>
    <w:rsid w:val="00C645B2"/>
    <w:rsid w:val="00C7047E"/>
    <w:rsid w:val="00C81756"/>
    <w:rsid w:val="00C8725C"/>
    <w:rsid w:val="00C91E09"/>
    <w:rsid w:val="00C92C30"/>
    <w:rsid w:val="00CA4042"/>
    <w:rsid w:val="00CA6D9A"/>
    <w:rsid w:val="00CA7D44"/>
    <w:rsid w:val="00CC536F"/>
    <w:rsid w:val="00CD0C9F"/>
    <w:rsid w:val="00CD2263"/>
    <w:rsid w:val="00CD5890"/>
    <w:rsid w:val="00CD61A6"/>
    <w:rsid w:val="00CD728F"/>
    <w:rsid w:val="00CD7709"/>
    <w:rsid w:val="00CD7AE9"/>
    <w:rsid w:val="00CD7E4A"/>
    <w:rsid w:val="00CD7F47"/>
    <w:rsid w:val="00CE68C2"/>
    <w:rsid w:val="00CF0A14"/>
    <w:rsid w:val="00CF12D2"/>
    <w:rsid w:val="00CF5172"/>
    <w:rsid w:val="00CF6FE3"/>
    <w:rsid w:val="00CF71DB"/>
    <w:rsid w:val="00D14D96"/>
    <w:rsid w:val="00D242FD"/>
    <w:rsid w:val="00D2606E"/>
    <w:rsid w:val="00D27390"/>
    <w:rsid w:val="00D43E88"/>
    <w:rsid w:val="00D50BA6"/>
    <w:rsid w:val="00D62638"/>
    <w:rsid w:val="00D63FDB"/>
    <w:rsid w:val="00D764A7"/>
    <w:rsid w:val="00D91D79"/>
    <w:rsid w:val="00DA7F89"/>
    <w:rsid w:val="00DB077D"/>
    <w:rsid w:val="00DB0796"/>
    <w:rsid w:val="00DB1098"/>
    <w:rsid w:val="00DB2494"/>
    <w:rsid w:val="00DB561C"/>
    <w:rsid w:val="00DC6F13"/>
    <w:rsid w:val="00DD5C05"/>
    <w:rsid w:val="00DD7165"/>
    <w:rsid w:val="00DE3A5B"/>
    <w:rsid w:val="00DE44AC"/>
    <w:rsid w:val="00DE471E"/>
    <w:rsid w:val="00DE5762"/>
    <w:rsid w:val="00DE5A3C"/>
    <w:rsid w:val="00DF03AA"/>
    <w:rsid w:val="00DF6567"/>
    <w:rsid w:val="00E17448"/>
    <w:rsid w:val="00E207CA"/>
    <w:rsid w:val="00E23EFB"/>
    <w:rsid w:val="00E3111A"/>
    <w:rsid w:val="00E31840"/>
    <w:rsid w:val="00E4362F"/>
    <w:rsid w:val="00E51A3F"/>
    <w:rsid w:val="00E802CF"/>
    <w:rsid w:val="00E9673A"/>
    <w:rsid w:val="00EA7E04"/>
    <w:rsid w:val="00ED2E7D"/>
    <w:rsid w:val="00ED746B"/>
    <w:rsid w:val="00EE29A8"/>
    <w:rsid w:val="00EE6765"/>
    <w:rsid w:val="00EF176D"/>
    <w:rsid w:val="00EF26EF"/>
    <w:rsid w:val="00EF2702"/>
    <w:rsid w:val="00EF3150"/>
    <w:rsid w:val="00F11DCD"/>
    <w:rsid w:val="00F32013"/>
    <w:rsid w:val="00F3383A"/>
    <w:rsid w:val="00F4109D"/>
    <w:rsid w:val="00F453D9"/>
    <w:rsid w:val="00F51227"/>
    <w:rsid w:val="00F74BF8"/>
    <w:rsid w:val="00F77DD0"/>
    <w:rsid w:val="00F80D99"/>
    <w:rsid w:val="00F84A72"/>
    <w:rsid w:val="00F869B7"/>
    <w:rsid w:val="00F871A5"/>
    <w:rsid w:val="00F94F8A"/>
    <w:rsid w:val="00FA288E"/>
    <w:rsid w:val="00FA3221"/>
    <w:rsid w:val="00FA4443"/>
    <w:rsid w:val="00FB44AB"/>
    <w:rsid w:val="00FB5D4E"/>
    <w:rsid w:val="00FB66C6"/>
    <w:rsid w:val="00FB77B1"/>
    <w:rsid w:val="00FC0652"/>
    <w:rsid w:val="00FC09E1"/>
    <w:rsid w:val="00FC258F"/>
    <w:rsid w:val="00FC766A"/>
    <w:rsid w:val="00FE1F8D"/>
    <w:rsid w:val="00FF0AEC"/>
    <w:rsid w:val="1045E100"/>
    <w:rsid w:val="131FF27F"/>
    <w:rsid w:val="1FE64474"/>
    <w:rsid w:val="2A11757A"/>
    <w:rsid w:val="2EBF7D86"/>
    <w:rsid w:val="387BF2CC"/>
    <w:rsid w:val="3ACCB127"/>
    <w:rsid w:val="4D34CD37"/>
    <w:rsid w:val="53C62B34"/>
    <w:rsid w:val="585B6BB4"/>
    <w:rsid w:val="629F9350"/>
    <w:rsid w:val="672AA72C"/>
    <w:rsid w:val="73DE3214"/>
    <w:rsid w:val="782E901F"/>
    <w:rsid w:val="7FB43DA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FD879"/>
  <w15:docId w15:val="{4F7D911C-A22C-4E42-BFC5-32A61CDD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262F"/>
    <w:pPr>
      <w:spacing w:before="160" w:after="0"/>
    </w:pPr>
    <w:rPr>
      <w:color w:val="4A4A49"/>
    </w:rPr>
  </w:style>
  <w:style w:type="paragraph" w:styleId="Titolo1">
    <w:name w:val="heading 1"/>
    <w:basedOn w:val="Normale"/>
    <w:next w:val="Normale"/>
    <w:link w:val="Titolo1Carattere"/>
    <w:uiPriority w:val="9"/>
    <w:qFormat/>
    <w:rsid w:val="000A262F"/>
    <w:pPr>
      <w:keepNext/>
      <w:keepLines/>
      <w:spacing w:before="0" w:after="125" w:line="240" w:lineRule="auto"/>
      <w:outlineLvl w:val="0"/>
    </w:pPr>
    <w:rPr>
      <w:rFonts w:asciiTheme="majorHAnsi" w:eastAsiaTheme="majorEastAsia" w:hAnsiTheme="majorHAnsi" w:cstheme="majorBidi"/>
      <w:b/>
      <w:sz w:val="28"/>
      <w:szCs w:val="28"/>
    </w:rPr>
  </w:style>
  <w:style w:type="paragraph" w:styleId="Titolo2">
    <w:name w:val="heading 2"/>
    <w:basedOn w:val="Normale"/>
    <w:next w:val="Normale"/>
    <w:link w:val="Titolo2Carattere"/>
    <w:uiPriority w:val="9"/>
    <w:unhideWhenUsed/>
    <w:qFormat/>
    <w:rsid w:val="00D764A7"/>
    <w:pPr>
      <w:keepNext/>
      <w:keepLines/>
      <w:spacing w:before="0" w:after="125"/>
      <w:outlineLvl w:val="1"/>
    </w:pPr>
    <w:rPr>
      <w:rFonts w:asciiTheme="majorHAnsi" w:eastAsiaTheme="majorEastAsia" w:hAnsiTheme="majorHAnsi" w:cstheme="majorBidi"/>
      <w:color w:val="49494A"/>
      <w:szCs w:val="26"/>
      <w:u w:val="single"/>
    </w:rPr>
  </w:style>
  <w:style w:type="paragraph" w:styleId="Titolo3">
    <w:name w:val="heading 3"/>
    <w:basedOn w:val="Normale"/>
    <w:next w:val="Normale"/>
    <w:link w:val="Titolo3Carattere"/>
    <w:uiPriority w:val="9"/>
    <w:unhideWhenUsed/>
    <w:rsid w:val="005232BD"/>
    <w:pPr>
      <w:keepNext/>
      <w:keepLines/>
      <w:outlineLvl w:val="2"/>
    </w:pPr>
    <w:rPr>
      <w:rFonts w:asciiTheme="majorHAnsi" w:eastAsiaTheme="majorEastAsia" w:hAnsiTheme="majorHAnsi" w:cstheme="majorBidi"/>
      <w:b/>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F656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DF6567"/>
  </w:style>
  <w:style w:type="paragraph" w:styleId="Pidipagina">
    <w:name w:val="footer"/>
    <w:basedOn w:val="Normale"/>
    <w:link w:val="PidipaginaCarattere"/>
    <w:uiPriority w:val="99"/>
    <w:unhideWhenUsed/>
    <w:rsid w:val="00DF6567"/>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DF6567"/>
  </w:style>
  <w:style w:type="character" w:customStyle="1" w:styleId="Titolo1Carattere">
    <w:name w:val="Titolo 1 Carattere"/>
    <w:basedOn w:val="Carpredefinitoparagrafo"/>
    <w:link w:val="Titolo1"/>
    <w:uiPriority w:val="9"/>
    <w:rsid w:val="000A262F"/>
    <w:rPr>
      <w:rFonts w:asciiTheme="majorHAnsi" w:eastAsiaTheme="majorEastAsia" w:hAnsiTheme="majorHAnsi" w:cstheme="majorBidi"/>
      <w:b/>
      <w:color w:val="4A4A49"/>
      <w:sz w:val="28"/>
      <w:szCs w:val="28"/>
    </w:rPr>
  </w:style>
  <w:style w:type="character" w:customStyle="1" w:styleId="Titolo2Carattere">
    <w:name w:val="Titolo 2 Carattere"/>
    <w:basedOn w:val="Carpredefinitoparagrafo"/>
    <w:link w:val="Titolo2"/>
    <w:uiPriority w:val="9"/>
    <w:rsid w:val="00D764A7"/>
    <w:rPr>
      <w:rFonts w:asciiTheme="majorHAnsi" w:eastAsiaTheme="majorEastAsia" w:hAnsiTheme="majorHAnsi" w:cstheme="majorBidi"/>
      <w:color w:val="49494A"/>
      <w:szCs w:val="26"/>
      <w:u w:val="single"/>
    </w:rPr>
  </w:style>
  <w:style w:type="character" w:customStyle="1" w:styleId="Titolo3Carattere">
    <w:name w:val="Titolo 3 Carattere"/>
    <w:basedOn w:val="Carpredefinitoparagrafo"/>
    <w:link w:val="Titolo3"/>
    <w:uiPriority w:val="9"/>
    <w:rsid w:val="005232BD"/>
    <w:rPr>
      <w:rFonts w:asciiTheme="majorHAnsi" w:eastAsiaTheme="majorEastAsia" w:hAnsiTheme="majorHAnsi" w:cstheme="majorBidi"/>
      <w:b/>
      <w:color w:val="878787" w:themeColor="accent1"/>
      <w:sz w:val="20"/>
      <w:szCs w:val="24"/>
    </w:rPr>
  </w:style>
  <w:style w:type="character" w:styleId="Collegamentoipertestuale">
    <w:name w:val="Hyperlink"/>
    <w:uiPriority w:val="99"/>
    <w:qFormat/>
    <w:rsid w:val="004A5DBD"/>
    <w:rPr>
      <w:rFonts w:asciiTheme="minorHAnsi" w:hAnsiTheme="minorHAnsi"/>
      <w:b w:val="0"/>
      <w:color w:val="00893D" w:themeColor="background2"/>
      <w:sz w:val="22"/>
      <w:lang w:val="it-IT"/>
    </w:rPr>
  </w:style>
  <w:style w:type="table" w:styleId="Grigliatabella">
    <w:name w:val="Table Grid"/>
    <w:basedOn w:val="Tabellanormale"/>
    <w:uiPriority w:val="59"/>
    <w:rsid w:val="00105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rsid w:val="00731BC9"/>
    <w:pPr>
      <w:spacing w:after="0" w:line="240" w:lineRule="auto"/>
    </w:pPr>
    <w:rPr>
      <w:color w:val="878787" w:themeColor="accent1"/>
      <w:sz w:val="20"/>
    </w:rPr>
  </w:style>
  <w:style w:type="character" w:styleId="Enfasigrassetto">
    <w:name w:val="Strong"/>
    <w:basedOn w:val="Carpredefinitoparagrafo"/>
    <w:uiPriority w:val="22"/>
    <w:qFormat/>
    <w:rsid w:val="004A5DBD"/>
    <w:rPr>
      <w:rFonts w:asciiTheme="minorHAnsi" w:hAnsiTheme="minorHAnsi"/>
      <w:b/>
      <w:bCs/>
      <w:sz w:val="22"/>
    </w:rPr>
  </w:style>
  <w:style w:type="paragraph" w:customStyle="1" w:styleId="BU">
    <w:name w:val="BU"/>
    <w:basedOn w:val="Normale"/>
    <w:qFormat/>
    <w:rsid w:val="000A262F"/>
    <w:pPr>
      <w:spacing w:before="120"/>
    </w:pPr>
    <w:rPr>
      <w:noProof/>
      <w:sz w:val="20"/>
      <w:lang w:eastAsia="de-DE"/>
    </w:rPr>
  </w:style>
  <w:style w:type="paragraph" w:customStyle="1" w:styleId="BU-fett">
    <w:name w:val="BU - fett"/>
    <w:basedOn w:val="BU"/>
    <w:qFormat/>
    <w:rsid w:val="00AE4755"/>
    <w:rPr>
      <w:b/>
    </w:rPr>
  </w:style>
  <w:style w:type="paragraph" w:styleId="Paragrafoelenco">
    <w:name w:val="List Paragraph"/>
    <w:basedOn w:val="Normale"/>
    <w:uiPriority w:val="34"/>
    <w:qFormat/>
    <w:rsid w:val="000A262F"/>
    <w:pPr>
      <w:numPr>
        <w:numId w:val="6"/>
      </w:numPr>
      <w:spacing w:before="0" w:after="600"/>
      <w:ind w:left="227" w:hanging="227"/>
      <w:contextualSpacing/>
    </w:pPr>
    <w:rPr>
      <w:sz w:val="24"/>
    </w:rPr>
  </w:style>
  <w:style w:type="paragraph" w:styleId="Testofumetto">
    <w:name w:val="Balloon Text"/>
    <w:basedOn w:val="Normale"/>
    <w:link w:val="TestofumettoCarattere"/>
    <w:uiPriority w:val="99"/>
    <w:semiHidden/>
    <w:unhideWhenUsed/>
    <w:rsid w:val="004F752B"/>
    <w:pPr>
      <w:spacing w:before="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F752B"/>
    <w:rPr>
      <w:rFonts w:ascii="Segoe UI" w:hAnsi="Segoe UI" w:cs="Segoe UI"/>
      <w:color w:val="878787" w:themeColor="accent1"/>
      <w:sz w:val="18"/>
      <w:szCs w:val="18"/>
    </w:rPr>
  </w:style>
  <w:style w:type="paragraph" w:customStyle="1" w:styleId="Teaser">
    <w:name w:val="Teaser"/>
    <w:basedOn w:val="Normale"/>
    <w:qFormat/>
    <w:rsid w:val="000A262F"/>
    <w:pPr>
      <w:spacing w:before="0" w:after="600"/>
    </w:pPr>
    <w:rPr>
      <w:noProof/>
      <w:sz w:val="24"/>
      <w:lang w:eastAsia="de-DE"/>
    </w:rPr>
  </w:style>
  <w:style w:type="character" w:styleId="Collegamentovisitato">
    <w:name w:val="FollowedHyperlink"/>
    <w:basedOn w:val="Carpredefinitoparagrafo"/>
    <w:uiPriority w:val="99"/>
    <w:semiHidden/>
    <w:unhideWhenUsed/>
    <w:qFormat/>
    <w:rsid w:val="00523C0B"/>
    <w:rPr>
      <w:color w:val="00893D" w:themeColor="followedHyperlink"/>
      <w:u w:val="none"/>
    </w:rPr>
  </w:style>
  <w:style w:type="character" w:customStyle="1" w:styleId="NichtaufgelsteErwhnung1">
    <w:name w:val="Nicht aufgelöste Erwähnung1"/>
    <w:basedOn w:val="Carpredefinitoparagrafo"/>
    <w:uiPriority w:val="99"/>
    <w:semiHidden/>
    <w:unhideWhenUsed/>
    <w:rsid w:val="00860C29"/>
    <w:rPr>
      <w:color w:val="605E5C"/>
      <w:shd w:val="clear" w:color="auto" w:fill="E1DFDD"/>
    </w:rPr>
  </w:style>
  <w:style w:type="paragraph" w:customStyle="1" w:styleId="Ansprechpartner">
    <w:name w:val="Ansprechpartner"/>
    <w:basedOn w:val="Normale"/>
    <w:qFormat/>
    <w:rsid w:val="00AD0056"/>
    <w:pPr>
      <w:spacing w:line="280" w:lineRule="exact"/>
    </w:pPr>
    <w:rPr>
      <w:sz w:val="20"/>
      <w:szCs w:val="20"/>
    </w:rPr>
  </w:style>
  <w:style w:type="paragraph" w:customStyle="1" w:styleId="Hinweis">
    <w:name w:val="Hinweis"/>
    <w:basedOn w:val="Titolo2"/>
    <w:qFormat/>
    <w:rsid w:val="000A262F"/>
    <w:pPr>
      <w:spacing w:after="0"/>
    </w:pPr>
    <w:rPr>
      <w:sz w:val="16"/>
      <w:u w:val="none"/>
    </w:rPr>
  </w:style>
  <w:style w:type="paragraph" w:customStyle="1" w:styleId="Hinweisfett">
    <w:name w:val="Hinweis fett"/>
    <w:basedOn w:val="Hinweis"/>
    <w:qFormat/>
    <w:rsid w:val="001D028C"/>
    <w:rPr>
      <w:b/>
    </w:rPr>
  </w:style>
  <w:style w:type="character" w:customStyle="1" w:styleId="NichtaufgelsteErwhnung2">
    <w:name w:val="Nicht aufgelöste Erwähnung2"/>
    <w:basedOn w:val="Carpredefinitoparagrafo"/>
    <w:uiPriority w:val="99"/>
    <w:semiHidden/>
    <w:unhideWhenUsed/>
    <w:rsid w:val="00DE5A3C"/>
    <w:rPr>
      <w:color w:val="605E5C"/>
      <w:shd w:val="clear" w:color="auto" w:fill="E1DFDD"/>
    </w:rPr>
  </w:style>
  <w:style w:type="paragraph" w:styleId="Testonotaapidipagina">
    <w:name w:val="footnote text"/>
    <w:basedOn w:val="Normale"/>
    <w:link w:val="TestonotaapidipaginaCarattere"/>
    <w:uiPriority w:val="99"/>
    <w:unhideWhenUsed/>
    <w:rsid w:val="00C11E0B"/>
    <w:pPr>
      <w:spacing w:before="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C11E0B"/>
    <w:rPr>
      <w:color w:val="4A4A49"/>
      <w:sz w:val="20"/>
      <w:szCs w:val="20"/>
    </w:rPr>
  </w:style>
  <w:style w:type="character" w:styleId="Rimandonotaapidipagina">
    <w:name w:val="footnote reference"/>
    <w:basedOn w:val="Carpredefinitoparagrafo"/>
    <w:uiPriority w:val="99"/>
    <w:semiHidden/>
    <w:unhideWhenUsed/>
    <w:rsid w:val="00C11E0B"/>
    <w:rPr>
      <w:vertAlign w:val="superscript"/>
    </w:rPr>
  </w:style>
  <w:style w:type="paragraph" w:styleId="Revisione">
    <w:name w:val="Revision"/>
    <w:hidden/>
    <w:uiPriority w:val="99"/>
    <w:semiHidden/>
    <w:rsid w:val="0078383D"/>
    <w:pPr>
      <w:spacing w:after="0" w:line="240" w:lineRule="auto"/>
    </w:pPr>
    <w:rPr>
      <w:color w:val="4A4A49"/>
    </w:rPr>
  </w:style>
  <w:style w:type="character" w:styleId="Rimandocommento">
    <w:name w:val="annotation reference"/>
    <w:basedOn w:val="Carpredefinitoparagrafo"/>
    <w:uiPriority w:val="99"/>
    <w:semiHidden/>
    <w:unhideWhenUsed/>
    <w:rsid w:val="00D242FD"/>
    <w:rPr>
      <w:sz w:val="16"/>
      <w:szCs w:val="16"/>
    </w:rPr>
  </w:style>
  <w:style w:type="paragraph" w:styleId="Testocommento">
    <w:name w:val="annotation text"/>
    <w:basedOn w:val="Normale"/>
    <w:link w:val="TestocommentoCarattere"/>
    <w:uiPriority w:val="99"/>
    <w:unhideWhenUsed/>
    <w:rsid w:val="00D242FD"/>
    <w:pPr>
      <w:spacing w:line="240" w:lineRule="auto"/>
    </w:pPr>
    <w:rPr>
      <w:sz w:val="20"/>
      <w:szCs w:val="20"/>
    </w:rPr>
  </w:style>
  <w:style w:type="character" w:customStyle="1" w:styleId="TestocommentoCarattere">
    <w:name w:val="Testo commento Carattere"/>
    <w:basedOn w:val="Carpredefinitoparagrafo"/>
    <w:link w:val="Testocommento"/>
    <w:uiPriority w:val="99"/>
    <w:rsid w:val="00D242FD"/>
    <w:rPr>
      <w:color w:val="4A4A49"/>
      <w:sz w:val="20"/>
      <w:szCs w:val="20"/>
    </w:rPr>
  </w:style>
  <w:style w:type="paragraph" w:styleId="Soggettocommento">
    <w:name w:val="annotation subject"/>
    <w:basedOn w:val="Testocommento"/>
    <w:next w:val="Testocommento"/>
    <w:link w:val="SoggettocommentoCarattere"/>
    <w:uiPriority w:val="99"/>
    <w:semiHidden/>
    <w:unhideWhenUsed/>
    <w:rsid w:val="00D242FD"/>
    <w:rPr>
      <w:b/>
      <w:bCs/>
    </w:rPr>
  </w:style>
  <w:style w:type="character" w:customStyle="1" w:styleId="SoggettocommentoCarattere">
    <w:name w:val="Soggetto commento Carattere"/>
    <w:basedOn w:val="TestocommentoCarattere"/>
    <w:link w:val="Soggettocommento"/>
    <w:uiPriority w:val="99"/>
    <w:semiHidden/>
    <w:rsid w:val="00D242FD"/>
    <w:rPr>
      <w:b/>
      <w:bCs/>
      <w:color w:val="4A4A4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77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twitter.com/schaefflergroup"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www.schaeffler.com" TargetMode="External"/><Relationship Id="rId25" Type="http://schemas.openxmlformats.org/officeDocument/2006/relationships/hyperlink" Target="https://www.instagram.com/schaefflergrou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tthias.herms@schaeffler.com" TargetMode="External"/><Relationship Id="rId20" Type="http://schemas.openxmlformats.org/officeDocument/2006/relationships/image" Target="media/image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aeffler.com/en/group/executive-board" TargetMode="External"/><Relationship Id="rId24" Type="http://schemas.openxmlformats.org/officeDocument/2006/relationships/image" Target="media/image6.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heiko.eber@schaeffler.com" TargetMode="External"/><Relationship Id="rId23" Type="http://schemas.openxmlformats.org/officeDocument/2006/relationships/hyperlink" Target="https://www.facebook.com/SchaefflerGroup"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www.linkedin.com/company/schaeffler"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xel.luedeke@schaeffler.com" TargetMode="External"/><Relationship Id="rId22" Type="http://schemas.openxmlformats.org/officeDocument/2006/relationships/image" Target="media/image5.png"/><Relationship Id="rId27" Type="http://schemas.openxmlformats.org/officeDocument/2006/relationships/hyperlink" Target="https://www.youtube.com/user/SchaefflerGlobal"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Larissa">
  <a:themeElements>
    <a:clrScheme name="Schaeffler_NL_colors">
      <a:dk1>
        <a:sysClr val="windowText" lastClr="000000"/>
      </a:dk1>
      <a:lt1>
        <a:sysClr val="window" lastClr="FFFFFF"/>
      </a:lt1>
      <a:dk2>
        <a:srgbClr val="C1CAC3"/>
      </a:dk2>
      <a:lt2>
        <a:srgbClr val="00893D"/>
      </a:lt2>
      <a:accent1>
        <a:srgbClr val="878787"/>
      </a:accent1>
      <a:accent2>
        <a:srgbClr val="DADADA"/>
      </a:accent2>
      <a:accent3>
        <a:srgbClr val="E61E35"/>
      </a:accent3>
      <a:accent4>
        <a:srgbClr val="78C7C9"/>
      </a:accent4>
      <a:accent5>
        <a:srgbClr val="E3E3E3"/>
      </a:accent5>
      <a:accent6>
        <a:srgbClr val="7D6866"/>
      </a:accent6>
      <a:hlink>
        <a:srgbClr val="00893D"/>
      </a:hlink>
      <a:folHlink>
        <a:srgbClr val="00893D"/>
      </a:folHlink>
    </a:clrScheme>
    <a:fontScheme name="Schaeffler_NL_fonts">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f13239-2562-4d17-bbf8-9a1120a046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BC578798A33C428B7472C87E7DCDB1" ma:contentTypeVersion="25" ma:contentTypeDescription="Create a new document." ma:contentTypeScope="" ma:versionID="46d7548788c28eb87151bfd1b0aab7cd">
  <xsd:schema xmlns:xsd="http://www.w3.org/2001/XMLSchema" xmlns:xs="http://www.w3.org/2001/XMLSchema" xmlns:p="http://schemas.microsoft.com/office/2006/metadata/properties" xmlns:ns2="39f13239-2562-4d17-bbf8-9a1120a0469f" targetNamespace="http://schemas.microsoft.com/office/2006/metadata/properties" ma:root="true" ma:fieldsID="b5d1f91e14cb7a58c7e096bf3233f092" ns2:_="">
    <xsd:import namespace="39f13239-2562-4d17-bbf8-9a1120a046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13239-2562-4d17-bbf8-9a1120a0469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DateTaken" ma:index="7" nillable="true" ma:displayName="MediaServiceDateTaken" ma:hidden="true" ma:indexed="true" ma:internalName="MediaServiceDateTaken" ma:readOnly="true">
      <xsd:simpleType>
        <xsd:restriction base="dms:Text"/>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b937219-7576-41a1-b649-10f96e1e170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F1491E-E30B-46DC-8082-EB9A921A26E3}">
  <ds:schemaRefs>
    <ds:schemaRef ds:uri="http://schemas.openxmlformats.org/officeDocument/2006/bibliography"/>
  </ds:schemaRefs>
</ds:datastoreItem>
</file>

<file path=customXml/itemProps2.xml><?xml version="1.0" encoding="utf-8"?>
<ds:datastoreItem xmlns:ds="http://schemas.openxmlformats.org/officeDocument/2006/customXml" ds:itemID="{15C1BE61-B6C3-44FC-84B0-616B702BBB81}">
  <ds:schemaRefs>
    <ds:schemaRef ds:uri="http://schemas.microsoft.com/office/2006/metadata/properties"/>
    <ds:schemaRef ds:uri="http://schemas.microsoft.com/office/infopath/2007/PartnerControls"/>
    <ds:schemaRef ds:uri="39f13239-2562-4d17-bbf8-9a1120a0469f"/>
  </ds:schemaRefs>
</ds:datastoreItem>
</file>

<file path=customXml/itemProps3.xml><?xml version="1.0" encoding="utf-8"?>
<ds:datastoreItem xmlns:ds="http://schemas.openxmlformats.org/officeDocument/2006/customXml" ds:itemID="{B0876EAF-B413-46C7-851B-7540470F6334}">
  <ds:schemaRefs>
    <ds:schemaRef ds:uri="http://schemas.microsoft.com/sharepoint/v3/contenttype/forms"/>
  </ds:schemaRefs>
</ds:datastoreItem>
</file>

<file path=customXml/itemProps4.xml><?xml version="1.0" encoding="utf-8"?>
<ds:datastoreItem xmlns:ds="http://schemas.openxmlformats.org/officeDocument/2006/customXml" ds:itemID="{AFEB7CC1-9E27-42F3-B7AF-B8B5B00E6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13239-2562-4d17-bbf8-9a1120a04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cfbc8fb-1e4e-4e6e-b34d-32d1589d0b9e}" enabled="1" method="Privileged" siteId="{67416604-6509-4014-9859-45e709f53d3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2364</Words>
  <Characters>13479</Characters>
  <Application>Microsoft Office Word</Application>
  <DocSecurity>0</DocSecurity>
  <Lines>112</Lines>
  <Paragraphs>31</Paragraphs>
  <ScaleCrop>false</ScaleCrop>
  <HeadingPairs>
    <vt:vector size="6" baseType="variant">
      <vt:variant>
        <vt:lpstr>Titolo</vt:lpstr>
      </vt:variant>
      <vt:variant>
        <vt:i4>1</vt:i4>
      </vt:variant>
      <vt:variant>
        <vt:lpstr>Titel</vt:lpstr>
      </vt:variant>
      <vt:variant>
        <vt:i4>1</vt:i4>
      </vt:variant>
      <vt:variant>
        <vt:lpstr>Überschriften</vt:lpstr>
      </vt:variant>
      <vt:variant>
        <vt:i4>11</vt:i4>
      </vt:variant>
    </vt:vector>
  </HeadingPairs>
  <TitlesOfParts>
    <vt:vector size="13" baseType="lpstr">
      <vt:lpstr/>
      <vt:lpstr/>
      <vt:lpstr>    </vt:lpstr>
      <vt:lpstr>    Forward-looking statements and projections</vt:lpstr>
      <vt:lpstr>    Certain statements in this press release are forward-looking statements. By thei</vt:lpstr>
      <vt:lpstr>    </vt:lpstr>
      <vt:lpstr>    /</vt:lpstr>
      <vt:lpstr>    Schaeffler Group – We pioneer motion</vt:lpstr>
      <vt:lpstr>    The Schaeffler Group has been driving forward groundbreaking inventions and deve</vt:lpstr>
      <vt:lpstr>    /</vt:lpstr>
      <vt:lpstr>    </vt:lpstr>
      <vt:lpstr>    /</vt:lpstr>
      <vt:lpstr>    </vt:lpstr>
    </vt:vector>
  </TitlesOfParts>
  <Company>HP</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Duerschner, Melanie  (ext.)  SZ/HZA-CMB</dc:creator>
  <cp:lastModifiedBy>Zucchetti, Daniela  SW/MOM-CI</cp:lastModifiedBy>
  <cp:revision>2</cp:revision>
  <cp:lastPrinted>2026-08-03T15:03:00Z</cp:lastPrinted>
  <dcterms:created xsi:type="dcterms:W3CDTF">2026-08-07T08:48:00Z</dcterms:created>
  <dcterms:modified xsi:type="dcterms:W3CDTF">2026-08-07T08:48:00Z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ContentTypeId">
    <vt:lpwstr>0x01010075BC578798A33C428B7472C87E7DCDB1</vt:lpwstr>
  </property>
  <property fmtid="{D5CDD505-2E9C-101B-9397-08002B2CF9AE}" pid="4" name="MediaServiceImageTags">
    <vt:lpwstr/>
  </property>
  <property fmtid="{D5CDD505-2E9C-101B-9397-08002B2CF9AE}" pid="5" name="_ExtendedDescription">
    <vt:lpwstr/>
  </property>
  <property fmtid="{D5CDD505-2E9C-101B-9397-08002B2CF9AE}" pid="6" name="_dlc_DocIdItemGuid">
    <vt:lpwstr>190edf28-bb8e-4e38-a130-ad258dc90d12</vt:lpwstr>
  </property>
  <property fmtid="{D5CDD505-2E9C-101B-9397-08002B2CF9AE}" pid="7" name="MSIP_Label_bcfbc8fb-1e4e-4e6e-b34d-32d1589d0b9e_Enabled">
    <vt:lpwstr>true</vt:lpwstr>
  </property>
  <property fmtid="{D5CDD505-2E9C-101B-9397-08002B2CF9AE}" pid="8" name="MSIP_Label_bcfbc8fb-1e4e-4e6e-b34d-32d1589d0b9e_SetDate">
    <vt:lpwstr>2026-08-04T10:43:15Z</vt:lpwstr>
  </property>
  <property fmtid="{D5CDD505-2E9C-101B-9397-08002B2CF9AE}" pid="9" name="MSIP_Label_bcfbc8fb-1e4e-4e6e-b34d-32d1589d0b9e_Method">
    <vt:lpwstr>Privileged</vt:lpwstr>
  </property>
  <property fmtid="{D5CDD505-2E9C-101B-9397-08002B2CF9AE}" pid="10" name="MSIP_Label_bcfbc8fb-1e4e-4e6e-b34d-32d1589d0b9e_Name">
    <vt:lpwstr>No visual marking - Public</vt:lpwstr>
  </property>
  <property fmtid="{D5CDD505-2E9C-101B-9397-08002B2CF9AE}" pid="11" name="MSIP_Label_bcfbc8fb-1e4e-4e6e-b34d-32d1589d0b9e_SiteId">
    <vt:lpwstr>67416604-6509-4014-9859-45e709f53d3f</vt:lpwstr>
  </property>
  <property fmtid="{D5CDD505-2E9C-101B-9397-08002B2CF9AE}" pid="12" name="MSIP_Label_bcfbc8fb-1e4e-4e6e-b34d-32d1589d0b9e_ActionId">
    <vt:lpwstr>a6b52c11-b0fb-4a43-864a-578e80a9ca22</vt:lpwstr>
  </property>
  <property fmtid="{D5CDD505-2E9C-101B-9397-08002B2CF9AE}" pid="13" name="MSIP_Label_bcfbc8fb-1e4e-4e6e-b34d-32d1589d0b9e_ContentBits">
    <vt:lpwstr>0</vt:lpwstr>
  </property>
  <property fmtid="{D5CDD505-2E9C-101B-9397-08002B2CF9AE}" pid="14" name="MSIP_Label_bcfbc8fb-1e4e-4e6e-b34d-32d1589d0b9e_Tag">
    <vt:lpwstr>10, 0, 1, 1</vt:lpwstr>
  </property>
</Properties>
</file>