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06A71" w14:textId="77777777" w:rsidR="00F97E61" w:rsidRDefault="00F97E61" w:rsidP="000E6632">
      <w:pPr>
        <w:jc w:val="center"/>
        <w:rPr>
          <w:rFonts w:ascii="Atkinson Hyperlegible" w:eastAsiaTheme="minorEastAsia" w:hAnsi="Atkinson Hyperlegible" w:cs="Atkinson Hyperlegible"/>
          <w:b/>
          <w:kern w:val="0"/>
          <w:szCs w:val="22"/>
        </w:rPr>
      </w:pPr>
    </w:p>
    <w:p w14:paraId="136049D8" w14:textId="77777777" w:rsidR="00A63A0D" w:rsidRPr="00F97E61" w:rsidRDefault="00114E29" w:rsidP="000E6632">
      <w:pPr>
        <w:jc w:val="center"/>
        <w:rPr>
          <w:rFonts w:ascii="Atkinson Hyperlegible" w:eastAsiaTheme="minorEastAsia" w:hAnsi="Atkinson Hyperlegible" w:cs="Atkinson Hyperlegible"/>
          <w:b/>
          <w:kern w:val="0"/>
          <w:szCs w:val="22"/>
        </w:rPr>
      </w:pPr>
      <w:r w:rsidRPr="00F97E61">
        <w:rPr>
          <w:rFonts w:ascii="Atkinson Hyperlegible" w:eastAsiaTheme="minorEastAsia" w:hAnsi="Atkinson Hyperlegible" w:cs="Atkinson Hyperlegible"/>
          <w:b/>
          <w:kern w:val="0"/>
          <w:szCs w:val="22"/>
        </w:rPr>
        <w:t>COMUNICATO STAMPA</w:t>
      </w:r>
    </w:p>
    <w:p w14:paraId="6FFDA04F" w14:textId="77777777" w:rsidR="00A63A0D" w:rsidRPr="00114E29" w:rsidRDefault="00114E29" w:rsidP="00114E29">
      <w:pPr>
        <w:pStyle w:val="Titolo1"/>
        <w:spacing w:after="0"/>
        <w:jc w:val="center"/>
        <w:rPr>
          <w:rFonts w:ascii="Atkinson Hyperlegible" w:eastAsiaTheme="minorEastAsia" w:hAnsi="Atkinson Hyperlegible" w:cs="Atkinson Hyperlegible"/>
          <w:b/>
          <w:color w:val="194173"/>
          <w:kern w:val="0"/>
          <w:sz w:val="24"/>
          <w:szCs w:val="24"/>
        </w:rPr>
      </w:pPr>
      <w:r w:rsidRPr="00114E29">
        <w:rPr>
          <w:rFonts w:ascii="Atkinson Hyperlegible" w:eastAsiaTheme="minorEastAsia" w:hAnsi="Atkinson Hyperlegible" w:cs="Atkinson Hyperlegible"/>
          <w:b/>
          <w:color w:val="194173"/>
          <w:kern w:val="0"/>
          <w:sz w:val="24"/>
          <w:szCs w:val="24"/>
        </w:rPr>
        <w:t xml:space="preserve">Progetto “L’Isola che accoglie”, in Sardegna </w:t>
      </w:r>
      <w:r w:rsidR="00511E78" w:rsidRPr="00114E29">
        <w:rPr>
          <w:rFonts w:ascii="Atkinson Hyperlegible" w:eastAsiaTheme="minorEastAsia" w:hAnsi="Atkinson Hyperlegible" w:cs="Atkinson Hyperlegible"/>
          <w:b/>
          <w:color w:val="194173"/>
          <w:kern w:val="0"/>
          <w:sz w:val="24"/>
          <w:szCs w:val="24"/>
        </w:rPr>
        <w:t>un turismo balne</w:t>
      </w:r>
      <w:r w:rsidRPr="00114E29">
        <w:rPr>
          <w:rFonts w:ascii="Atkinson Hyperlegible" w:eastAsiaTheme="minorEastAsia" w:hAnsi="Atkinson Hyperlegible" w:cs="Atkinson Hyperlegible"/>
          <w:b/>
          <w:color w:val="194173"/>
          <w:kern w:val="0"/>
          <w:sz w:val="24"/>
          <w:szCs w:val="24"/>
        </w:rPr>
        <w:t>are più accessibile e inclusivo</w:t>
      </w:r>
    </w:p>
    <w:p w14:paraId="6FFBE36B" w14:textId="77777777" w:rsidR="005134AF" w:rsidRDefault="005134AF" w:rsidP="00114E29">
      <w:pPr>
        <w:spacing w:after="0"/>
        <w:jc w:val="center"/>
        <w:rPr>
          <w:rFonts w:ascii="Atkinson Hyperlegible" w:hAnsi="Atkinson Hyperlegible"/>
          <w:b/>
          <w:bCs/>
        </w:rPr>
      </w:pPr>
    </w:p>
    <w:p w14:paraId="2D506F4A" w14:textId="6E87FCF4" w:rsidR="005134AF" w:rsidRPr="000E6632" w:rsidRDefault="00270655" w:rsidP="00114E29">
      <w:pPr>
        <w:spacing w:after="0"/>
        <w:jc w:val="both"/>
        <w:rPr>
          <w:rFonts w:ascii="Atkinson Hyperlegible" w:eastAsiaTheme="minorEastAsia" w:hAnsi="Atkinson Hyperlegible" w:cs="Atkinson Hyperlegible"/>
          <w:color w:val="1A1A1A"/>
          <w:kern w:val="0"/>
          <w:sz w:val="21"/>
          <w:szCs w:val="22"/>
        </w:rPr>
      </w:pPr>
      <w:r>
        <w:rPr>
          <w:rFonts w:ascii="Atkinson Hyperlegible" w:eastAsiaTheme="minorEastAsia" w:hAnsi="Atkinson Hyperlegible" w:cs="Atkinson Hyperlegible"/>
          <w:b/>
          <w:color w:val="1A1A1A"/>
          <w:kern w:val="0"/>
          <w:sz w:val="21"/>
          <w:szCs w:val="22"/>
        </w:rPr>
        <w:t>Agosto</w:t>
      </w:r>
      <w:r w:rsidR="00A63A0D" w:rsidRPr="00114E29">
        <w:rPr>
          <w:rFonts w:ascii="Atkinson Hyperlegible" w:eastAsiaTheme="minorEastAsia" w:hAnsi="Atkinson Hyperlegible" w:cs="Atkinson Hyperlegible"/>
          <w:b/>
          <w:color w:val="1A1A1A"/>
          <w:kern w:val="0"/>
          <w:sz w:val="21"/>
          <w:szCs w:val="22"/>
        </w:rPr>
        <w:t xml:space="preserve"> 2026</w:t>
      </w:r>
      <w:r w:rsidR="00511E78" w:rsidRPr="000E6632">
        <w:rPr>
          <w:rFonts w:ascii="Atkinson Hyperlegible" w:eastAsiaTheme="minorEastAsia" w:hAnsi="Atkinson Hyperlegible" w:cs="Atkinson Hyperlegible"/>
          <w:color w:val="1A1A1A"/>
          <w:kern w:val="0"/>
          <w:sz w:val="21"/>
          <w:szCs w:val="22"/>
        </w:rPr>
        <w:t xml:space="preserve">– </w:t>
      </w:r>
      <w:r w:rsidR="005134AF" w:rsidRPr="000E6632">
        <w:rPr>
          <w:rFonts w:ascii="Atkinson Hyperlegible" w:eastAsiaTheme="minorEastAsia" w:hAnsi="Atkinson Hyperlegible" w:cs="Atkinson Hyperlegible"/>
          <w:color w:val="1A1A1A"/>
          <w:kern w:val="0"/>
          <w:sz w:val="21"/>
          <w:szCs w:val="22"/>
        </w:rPr>
        <w:t>La Regione Sardegna avvia “L’Isola che accoglie”, un’iniziativa dedicata al turismo accessibile e inclusivo.</w:t>
      </w:r>
      <w:r w:rsidR="00114E29">
        <w:rPr>
          <w:rFonts w:ascii="Atkinson Hyperlegible" w:eastAsiaTheme="minorEastAsia" w:hAnsi="Atkinson Hyperlegible" w:cs="Atkinson Hyperlegible"/>
          <w:color w:val="1A1A1A"/>
          <w:kern w:val="0"/>
          <w:sz w:val="21"/>
          <w:szCs w:val="22"/>
        </w:rPr>
        <w:t xml:space="preserve"> Il progetto </w:t>
      </w:r>
      <w:r w:rsidR="00EC3C84" w:rsidRPr="005E7BBD">
        <w:rPr>
          <w:rFonts w:ascii="Atkinson Hyperlegible" w:eastAsiaTheme="minorEastAsia" w:hAnsi="Atkinson Hyperlegible" w:cs="Atkinson Hyperlegible"/>
          <w:color w:val="1A1A1A"/>
          <w:kern w:val="0"/>
          <w:sz w:val="21"/>
          <w:szCs w:val="22"/>
        </w:rPr>
        <w:t>racconta gli interventi di accessibilità realizzati in alcune spiagge pilota della Sardegna, con l</w:t>
      </w:r>
      <w:r w:rsidR="00114E29">
        <w:rPr>
          <w:rFonts w:ascii="Atkinson Hyperlegible" w:eastAsiaTheme="minorEastAsia" w:hAnsi="Atkinson Hyperlegible" w:cs="Atkinson Hyperlegible"/>
          <w:color w:val="1A1A1A"/>
          <w:kern w:val="0"/>
          <w:sz w:val="21"/>
          <w:szCs w:val="22"/>
        </w:rPr>
        <w:t>’</w:t>
      </w:r>
      <w:r w:rsidR="00EC3C84" w:rsidRPr="005E7BBD">
        <w:rPr>
          <w:rFonts w:ascii="Atkinson Hyperlegible" w:eastAsiaTheme="minorEastAsia" w:hAnsi="Atkinson Hyperlegible" w:cs="Atkinson Hyperlegible"/>
          <w:color w:val="1A1A1A"/>
          <w:kern w:val="0"/>
          <w:sz w:val="21"/>
          <w:szCs w:val="22"/>
        </w:rPr>
        <w:t>obiettivo di far conoscere le informazioni e i servizi disponibili per una fruizione più semplice, sicura e autonoma.</w:t>
      </w:r>
      <w:r w:rsidR="00703B4F">
        <w:rPr>
          <w:rFonts w:ascii="Atkinson Hyperlegible" w:eastAsiaTheme="minorEastAsia" w:hAnsi="Atkinson Hyperlegible" w:cs="Atkinson Hyperlegible"/>
          <w:color w:val="1A1A1A"/>
          <w:kern w:val="0"/>
          <w:sz w:val="21"/>
          <w:szCs w:val="22"/>
        </w:rPr>
        <w:t xml:space="preserve"> </w:t>
      </w:r>
      <w:r w:rsidR="005134AF" w:rsidRPr="000E6632">
        <w:rPr>
          <w:rFonts w:ascii="Atkinson Hyperlegible" w:eastAsiaTheme="minorEastAsia" w:hAnsi="Atkinson Hyperlegible" w:cs="Atkinson Hyperlegible"/>
          <w:color w:val="1A1A1A"/>
          <w:kern w:val="0"/>
          <w:sz w:val="21"/>
          <w:szCs w:val="22"/>
        </w:rPr>
        <w:t xml:space="preserve">L’iniziativa è </w:t>
      </w:r>
      <w:r w:rsidR="00DD425C">
        <w:rPr>
          <w:rFonts w:ascii="Atkinson Hyperlegible" w:eastAsiaTheme="minorEastAsia" w:hAnsi="Atkinson Hyperlegible" w:cs="Atkinson Hyperlegible"/>
          <w:color w:val="1A1A1A"/>
          <w:kern w:val="0"/>
          <w:sz w:val="21"/>
          <w:szCs w:val="22"/>
        </w:rPr>
        <w:t>co</w:t>
      </w:r>
      <w:r w:rsidR="005134AF" w:rsidRPr="000E6632">
        <w:rPr>
          <w:rFonts w:ascii="Atkinson Hyperlegible" w:eastAsiaTheme="minorEastAsia" w:hAnsi="Atkinson Hyperlegible" w:cs="Atkinson Hyperlegible"/>
          <w:color w:val="1A1A1A"/>
          <w:kern w:val="0"/>
          <w:sz w:val="21"/>
          <w:szCs w:val="22"/>
        </w:rPr>
        <w:t>finanziata dalla Presidenza del Consiglio dei Ministri, attraverso il Dipartimento per le politiche in favore delle persone con disabilità</w:t>
      </w:r>
      <w:r w:rsidR="00DD425C">
        <w:rPr>
          <w:rFonts w:ascii="Atkinson Hyperlegible" w:eastAsiaTheme="minorEastAsia" w:hAnsi="Atkinson Hyperlegible" w:cs="Atkinson Hyperlegible"/>
          <w:color w:val="1A1A1A"/>
          <w:kern w:val="0"/>
          <w:sz w:val="21"/>
          <w:szCs w:val="22"/>
        </w:rPr>
        <w:t xml:space="preserve"> e dalla Regione Sardegna con risorse del FESR. </w:t>
      </w:r>
    </w:p>
    <w:p w14:paraId="01CA479F" w14:textId="77777777" w:rsidR="005134AF"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“L’Isola che accoglie” segue i principi della Convenzione delle Nazioni Unite sui diritti delle persone con disabilità e si ispira all’Agenda ONU 2030, alla Strategia europea per i diritti delle persone con disabilità 2021-2030 e alle linee guida dell’Organizzazione Mondiale del Turismo.</w:t>
      </w:r>
    </w:p>
    <w:p w14:paraId="482A5B27" w14:textId="77777777" w:rsidR="00114E29" w:rsidRDefault="00114E29" w:rsidP="00114E29">
      <w:pPr>
        <w:spacing w:after="0"/>
        <w:jc w:val="both"/>
        <w:rPr>
          <w:rFonts w:ascii="Atkinson Hyperlegible" w:eastAsiaTheme="minorEastAsia" w:hAnsi="Atkinson Hyperlegible" w:cs="Atkinson Hyperlegible"/>
          <w:color w:val="1A1A1A"/>
          <w:kern w:val="0"/>
          <w:sz w:val="21"/>
          <w:szCs w:val="22"/>
        </w:rPr>
      </w:pPr>
    </w:p>
    <w:p w14:paraId="1BF7D072" w14:textId="77777777" w:rsidR="00621F69" w:rsidRPr="000E6632" w:rsidRDefault="00621F69" w:rsidP="00114E29">
      <w:pPr>
        <w:spacing w:after="0"/>
        <w:jc w:val="both"/>
        <w:rPr>
          <w:rFonts w:ascii="Atkinson Hyperlegible" w:eastAsiaTheme="minorEastAsia" w:hAnsi="Atkinson Hyperlegible" w:cs="Atkinson Hyperlegible"/>
          <w:color w:val="1A1A1A"/>
          <w:kern w:val="0"/>
          <w:sz w:val="21"/>
          <w:szCs w:val="22"/>
        </w:rPr>
      </w:pPr>
      <w:r>
        <w:rPr>
          <w:rFonts w:ascii="Atkinson Hyperlegible" w:eastAsiaTheme="minorEastAsia" w:hAnsi="Atkinson Hyperlegible" w:cs="Atkinson Hyperlegible"/>
          <w:color w:val="1A1A1A"/>
          <w:kern w:val="0"/>
          <w:sz w:val="21"/>
          <w:szCs w:val="22"/>
        </w:rPr>
        <w:t>“</w:t>
      </w:r>
      <w:r w:rsidR="00393318" w:rsidRPr="00393318">
        <w:rPr>
          <w:rFonts w:ascii="Atkinson Hyperlegible" w:eastAsiaTheme="minorEastAsia" w:hAnsi="Atkinson Hyperlegible" w:cs="Atkinson Hyperlegible"/>
          <w:i/>
          <w:iCs/>
          <w:color w:val="1A1A1A"/>
          <w:kern w:val="0"/>
          <w:sz w:val="21"/>
          <w:szCs w:val="22"/>
        </w:rPr>
        <w:t xml:space="preserve">L'accessibilità rappresenta un elemento importante per una fruizione più ampia e consapevole del patrimonio balneare </w:t>
      </w:r>
      <w:r w:rsidR="00393318">
        <w:rPr>
          <w:rFonts w:ascii="Atkinson Hyperlegible" w:eastAsiaTheme="minorEastAsia" w:hAnsi="Atkinson Hyperlegible" w:cs="Atkinson Hyperlegible"/>
          <w:i/>
          <w:iCs/>
          <w:color w:val="1A1A1A"/>
          <w:kern w:val="0"/>
          <w:sz w:val="21"/>
          <w:szCs w:val="22"/>
        </w:rPr>
        <w:t>sardo</w:t>
      </w:r>
      <w:r w:rsidR="00114E29">
        <w:rPr>
          <w:rFonts w:ascii="Atkinson Hyperlegible" w:eastAsiaTheme="minorEastAsia" w:hAnsi="Atkinson Hyperlegible" w:cs="Atkinson Hyperlegible"/>
          <w:i/>
          <w:iCs/>
          <w:color w:val="1A1A1A"/>
          <w:kern w:val="0"/>
          <w:sz w:val="21"/>
          <w:szCs w:val="22"/>
        </w:rPr>
        <w:t xml:space="preserve"> - </w:t>
      </w:r>
      <w:r w:rsidR="00114E29">
        <w:rPr>
          <w:rFonts w:ascii="Atkinson Hyperlegible" w:eastAsiaTheme="minorEastAsia" w:hAnsi="Atkinson Hyperlegible" w:cs="Atkinson Hyperlegible"/>
          <w:color w:val="1A1A1A"/>
          <w:kern w:val="0"/>
          <w:sz w:val="21"/>
          <w:szCs w:val="22"/>
        </w:rPr>
        <w:t xml:space="preserve">dichiara </w:t>
      </w:r>
      <w:r w:rsidR="00114E29" w:rsidRPr="00A534ED">
        <w:rPr>
          <w:rFonts w:ascii="Atkinson Hyperlegible" w:eastAsiaTheme="minorEastAsia" w:hAnsi="Atkinson Hyperlegible" w:cs="Atkinson Hyperlegible"/>
          <w:color w:val="1A1A1A"/>
          <w:kern w:val="0"/>
          <w:sz w:val="21"/>
          <w:szCs w:val="22"/>
        </w:rPr>
        <w:t>Franco Cuccureddu</w:t>
      </w:r>
      <w:r w:rsidR="00114E29">
        <w:rPr>
          <w:rFonts w:ascii="Atkinson Hyperlegible" w:eastAsiaTheme="minorEastAsia" w:hAnsi="Atkinson Hyperlegible" w:cs="Atkinson Hyperlegible"/>
          <w:color w:val="1A1A1A"/>
          <w:kern w:val="0"/>
          <w:sz w:val="21"/>
          <w:szCs w:val="22"/>
        </w:rPr>
        <w:t>, a</w:t>
      </w:r>
      <w:r w:rsidR="00114E29" w:rsidRPr="00621F69">
        <w:rPr>
          <w:rFonts w:ascii="Atkinson Hyperlegible" w:eastAsiaTheme="minorEastAsia" w:hAnsi="Atkinson Hyperlegible" w:cs="Atkinson Hyperlegible"/>
          <w:color w:val="1A1A1A"/>
          <w:kern w:val="0"/>
          <w:sz w:val="21"/>
          <w:szCs w:val="22"/>
        </w:rPr>
        <w:t>ssessore del Turismo, Artigianato e Commercio della Regione Autonoma della Sardegna</w:t>
      </w:r>
      <w:r w:rsidR="00114E29">
        <w:rPr>
          <w:rFonts w:ascii="Atkinson Hyperlegible" w:eastAsiaTheme="minorEastAsia" w:hAnsi="Atkinson Hyperlegible" w:cs="Atkinson Hyperlegible"/>
          <w:color w:val="1A1A1A"/>
          <w:kern w:val="0"/>
          <w:sz w:val="21"/>
          <w:szCs w:val="22"/>
        </w:rPr>
        <w:t xml:space="preserve"> - </w:t>
      </w:r>
      <w:r w:rsidR="00114E29" w:rsidRPr="00114E29">
        <w:rPr>
          <w:rFonts w:ascii="Atkinson Hyperlegible" w:eastAsiaTheme="minorEastAsia" w:hAnsi="Atkinson Hyperlegible" w:cs="Atkinson Hyperlegible"/>
          <w:i/>
          <w:color w:val="1A1A1A"/>
          <w:kern w:val="0"/>
          <w:sz w:val="21"/>
          <w:szCs w:val="22"/>
        </w:rPr>
        <w:t>C</w:t>
      </w:r>
      <w:r w:rsidR="00393318" w:rsidRPr="00393318">
        <w:rPr>
          <w:rFonts w:ascii="Atkinson Hyperlegible" w:eastAsiaTheme="minorEastAsia" w:hAnsi="Atkinson Hyperlegible" w:cs="Atkinson Hyperlegible"/>
          <w:i/>
          <w:iCs/>
          <w:color w:val="1A1A1A"/>
          <w:kern w:val="0"/>
          <w:sz w:val="21"/>
          <w:szCs w:val="22"/>
        </w:rPr>
        <w:t xml:space="preserve">on </w:t>
      </w:r>
      <w:r w:rsidR="00114E29">
        <w:rPr>
          <w:rFonts w:ascii="Atkinson Hyperlegible" w:eastAsiaTheme="minorEastAsia" w:hAnsi="Atkinson Hyperlegible" w:cs="Atkinson Hyperlegible"/>
          <w:i/>
          <w:iCs/>
          <w:color w:val="1A1A1A"/>
          <w:kern w:val="0"/>
          <w:sz w:val="21"/>
          <w:szCs w:val="22"/>
        </w:rPr>
        <w:t>‘</w:t>
      </w:r>
      <w:r w:rsidR="00393318" w:rsidRPr="00393318">
        <w:rPr>
          <w:rFonts w:ascii="Atkinson Hyperlegible" w:eastAsiaTheme="minorEastAsia" w:hAnsi="Atkinson Hyperlegible" w:cs="Atkinson Hyperlegible"/>
          <w:i/>
          <w:iCs/>
          <w:color w:val="1A1A1A"/>
          <w:kern w:val="0"/>
          <w:sz w:val="21"/>
          <w:szCs w:val="22"/>
        </w:rPr>
        <w:t>L’Isola che accoglie</w:t>
      </w:r>
      <w:r w:rsidR="00114E29">
        <w:rPr>
          <w:rFonts w:ascii="Atkinson Hyperlegible" w:eastAsiaTheme="minorEastAsia" w:hAnsi="Atkinson Hyperlegible" w:cs="Atkinson Hyperlegible"/>
          <w:i/>
          <w:iCs/>
          <w:color w:val="1A1A1A"/>
          <w:kern w:val="0"/>
          <w:sz w:val="21"/>
          <w:szCs w:val="22"/>
        </w:rPr>
        <w:t xml:space="preserve">’– </w:t>
      </w:r>
      <w:r w:rsidR="00114E29" w:rsidRPr="00114E29">
        <w:rPr>
          <w:rFonts w:ascii="Atkinson Hyperlegible" w:eastAsiaTheme="minorEastAsia" w:hAnsi="Atkinson Hyperlegible" w:cs="Atkinson Hyperlegible"/>
          <w:iCs/>
          <w:color w:val="1A1A1A"/>
          <w:kern w:val="0"/>
          <w:sz w:val="21"/>
          <w:szCs w:val="22"/>
        </w:rPr>
        <w:t>prosegue</w:t>
      </w:r>
      <w:r w:rsidR="00114E29">
        <w:rPr>
          <w:rFonts w:ascii="Atkinson Hyperlegible" w:eastAsiaTheme="minorEastAsia" w:hAnsi="Atkinson Hyperlegible" w:cs="Atkinson Hyperlegible"/>
          <w:i/>
          <w:iCs/>
          <w:color w:val="1A1A1A"/>
          <w:kern w:val="0"/>
          <w:sz w:val="21"/>
          <w:szCs w:val="22"/>
        </w:rPr>
        <w:t xml:space="preserve"> - </w:t>
      </w:r>
      <w:r w:rsidR="00393318" w:rsidRPr="00393318">
        <w:rPr>
          <w:rFonts w:ascii="Atkinson Hyperlegible" w:eastAsiaTheme="minorEastAsia" w:hAnsi="Atkinson Hyperlegible" w:cs="Atkinson Hyperlegible"/>
          <w:i/>
          <w:iCs/>
          <w:color w:val="1A1A1A"/>
          <w:kern w:val="0"/>
          <w:sz w:val="21"/>
          <w:szCs w:val="22"/>
        </w:rPr>
        <w:t xml:space="preserve">raccontiamo un’esperienza realizzata </w:t>
      </w:r>
      <w:r w:rsidR="00114E29">
        <w:rPr>
          <w:rFonts w:ascii="Atkinson Hyperlegible" w:eastAsiaTheme="minorEastAsia" w:hAnsi="Atkinson Hyperlegible" w:cs="Atkinson Hyperlegible"/>
          <w:i/>
          <w:iCs/>
          <w:color w:val="1A1A1A"/>
          <w:kern w:val="0"/>
          <w:sz w:val="21"/>
          <w:szCs w:val="22"/>
        </w:rPr>
        <w:t xml:space="preserve">in quattro destinazioni turistiche rilevanti e affermate, replicabile nel breve periodo in tanti altri Comuni costieri. Il progetto – </w:t>
      </w:r>
      <w:r w:rsidR="00114E29" w:rsidRPr="00114E29">
        <w:rPr>
          <w:rFonts w:ascii="Atkinson Hyperlegible" w:eastAsiaTheme="minorEastAsia" w:hAnsi="Atkinson Hyperlegible" w:cs="Atkinson Hyperlegible"/>
          <w:iCs/>
          <w:color w:val="1A1A1A"/>
          <w:kern w:val="0"/>
          <w:sz w:val="21"/>
          <w:szCs w:val="22"/>
        </w:rPr>
        <w:t>aggiunge Cuccureddu</w:t>
      </w:r>
      <w:r w:rsidR="00114E29">
        <w:rPr>
          <w:rFonts w:ascii="Atkinson Hyperlegible" w:eastAsiaTheme="minorEastAsia" w:hAnsi="Atkinson Hyperlegible" w:cs="Atkinson Hyperlegible"/>
          <w:i/>
          <w:iCs/>
          <w:color w:val="1A1A1A"/>
          <w:kern w:val="0"/>
          <w:sz w:val="21"/>
          <w:szCs w:val="22"/>
        </w:rPr>
        <w:t xml:space="preserve"> - </w:t>
      </w:r>
      <w:r w:rsidR="00393318" w:rsidRPr="00393318">
        <w:rPr>
          <w:rFonts w:ascii="Atkinson Hyperlegible" w:eastAsiaTheme="minorEastAsia" w:hAnsi="Atkinson Hyperlegible" w:cs="Atkinson Hyperlegible"/>
          <w:i/>
          <w:iCs/>
          <w:color w:val="1A1A1A"/>
          <w:kern w:val="0"/>
          <w:sz w:val="21"/>
          <w:szCs w:val="22"/>
        </w:rPr>
        <w:t xml:space="preserve">valorizza </w:t>
      </w:r>
      <w:r w:rsidR="00114E29">
        <w:rPr>
          <w:rFonts w:ascii="Atkinson Hyperlegible" w:eastAsiaTheme="minorEastAsia" w:hAnsi="Atkinson Hyperlegible" w:cs="Atkinson Hyperlegible"/>
          <w:i/>
          <w:iCs/>
          <w:color w:val="1A1A1A"/>
          <w:kern w:val="0"/>
          <w:sz w:val="21"/>
          <w:szCs w:val="22"/>
        </w:rPr>
        <w:t xml:space="preserve">sia </w:t>
      </w:r>
      <w:r w:rsidR="00393318" w:rsidRPr="00393318">
        <w:rPr>
          <w:rFonts w:ascii="Atkinson Hyperlegible" w:eastAsiaTheme="minorEastAsia" w:hAnsi="Atkinson Hyperlegible" w:cs="Atkinson Hyperlegible"/>
          <w:i/>
          <w:iCs/>
          <w:color w:val="1A1A1A"/>
          <w:kern w:val="0"/>
          <w:sz w:val="21"/>
          <w:szCs w:val="22"/>
        </w:rPr>
        <w:t xml:space="preserve">il lavoro svolto dalle amministrazioni </w:t>
      </w:r>
      <w:r w:rsidR="00114E29">
        <w:rPr>
          <w:rFonts w:ascii="Atkinson Hyperlegible" w:eastAsiaTheme="minorEastAsia" w:hAnsi="Atkinson Hyperlegible" w:cs="Atkinson Hyperlegible"/>
          <w:i/>
          <w:iCs/>
          <w:color w:val="1A1A1A"/>
          <w:kern w:val="0"/>
          <w:sz w:val="21"/>
          <w:szCs w:val="22"/>
        </w:rPr>
        <w:t xml:space="preserve">comunali </w:t>
      </w:r>
      <w:r w:rsidR="00393318" w:rsidRPr="00393318">
        <w:rPr>
          <w:rFonts w:ascii="Atkinson Hyperlegible" w:eastAsiaTheme="minorEastAsia" w:hAnsi="Atkinson Hyperlegible" w:cs="Atkinson Hyperlegible"/>
          <w:i/>
          <w:iCs/>
          <w:color w:val="1A1A1A"/>
          <w:kern w:val="0"/>
          <w:sz w:val="21"/>
          <w:szCs w:val="22"/>
        </w:rPr>
        <w:t xml:space="preserve">coinvolte </w:t>
      </w:r>
      <w:r w:rsidR="00114E29">
        <w:rPr>
          <w:rFonts w:ascii="Atkinson Hyperlegible" w:eastAsiaTheme="minorEastAsia" w:hAnsi="Atkinson Hyperlegible" w:cs="Atkinson Hyperlegible"/>
          <w:i/>
          <w:iCs/>
          <w:color w:val="1A1A1A"/>
          <w:kern w:val="0"/>
          <w:sz w:val="21"/>
          <w:szCs w:val="22"/>
        </w:rPr>
        <w:t>ch</w:t>
      </w:r>
      <w:r w:rsidR="00393318" w:rsidRPr="00393318">
        <w:rPr>
          <w:rFonts w:ascii="Atkinson Hyperlegible" w:eastAsiaTheme="minorEastAsia" w:hAnsi="Atkinson Hyperlegible" w:cs="Atkinson Hyperlegible"/>
          <w:i/>
          <w:iCs/>
          <w:color w:val="1A1A1A"/>
          <w:kern w:val="0"/>
          <w:sz w:val="21"/>
          <w:szCs w:val="22"/>
        </w:rPr>
        <w:t xml:space="preserve">e il contributo diretto delle persone con disabilità </w:t>
      </w:r>
      <w:r w:rsidR="00114E29">
        <w:rPr>
          <w:rFonts w:ascii="Atkinson Hyperlegible" w:eastAsiaTheme="minorEastAsia" w:hAnsi="Atkinson Hyperlegible" w:cs="Atkinson Hyperlegible"/>
          <w:i/>
          <w:iCs/>
          <w:color w:val="1A1A1A"/>
          <w:kern w:val="0"/>
          <w:sz w:val="21"/>
          <w:szCs w:val="22"/>
        </w:rPr>
        <w:t>coinvolte</w:t>
      </w:r>
      <w:r w:rsidR="00393318" w:rsidRPr="00393318">
        <w:rPr>
          <w:rFonts w:ascii="Atkinson Hyperlegible" w:eastAsiaTheme="minorEastAsia" w:hAnsi="Atkinson Hyperlegible" w:cs="Atkinson Hyperlegible"/>
          <w:i/>
          <w:iCs/>
          <w:color w:val="1A1A1A"/>
          <w:kern w:val="0"/>
          <w:sz w:val="21"/>
          <w:szCs w:val="22"/>
        </w:rPr>
        <w:t xml:space="preserve">. L’iniziativa </w:t>
      </w:r>
      <w:r w:rsidR="00114E29">
        <w:rPr>
          <w:rFonts w:ascii="Atkinson Hyperlegible" w:eastAsiaTheme="minorEastAsia" w:hAnsi="Atkinson Hyperlegible" w:cs="Atkinson Hyperlegible"/>
          <w:i/>
          <w:iCs/>
          <w:color w:val="1A1A1A"/>
          <w:kern w:val="0"/>
          <w:sz w:val="21"/>
          <w:szCs w:val="22"/>
        </w:rPr>
        <w:t xml:space="preserve">– </w:t>
      </w:r>
      <w:r w:rsidR="00114E29" w:rsidRPr="00114E29">
        <w:rPr>
          <w:rFonts w:ascii="Atkinson Hyperlegible" w:eastAsiaTheme="minorEastAsia" w:hAnsi="Atkinson Hyperlegible" w:cs="Atkinson Hyperlegible"/>
          <w:iCs/>
          <w:color w:val="1A1A1A"/>
          <w:kern w:val="0"/>
          <w:sz w:val="21"/>
          <w:szCs w:val="22"/>
        </w:rPr>
        <w:t xml:space="preserve">conclude l’assessore </w:t>
      </w:r>
      <w:r w:rsidR="00114E29">
        <w:rPr>
          <w:rFonts w:ascii="Atkinson Hyperlegible" w:eastAsiaTheme="minorEastAsia" w:hAnsi="Atkinson Hyperlegible" w:cs="Atkinson Hyperlegible"/>
          <w:i/>
          <w:iCs/>
          <w:color w:val="1A1A1A"/>
          <w:kern w:val="0"/>
          <w:sz w:val="21"/>
          <w:szCs w:val="22"/>
        </w:rPr>
        <w:t xml:space="preserve">- </w:t>
      </w:r>
      <w:r w:rsidR="00393318" w:rsidRPr="00393318">
        <w:rPr>
          <w:rFonts w:ascii="Atkinson Hyperlegible" w:eastAsiaTheme="minorEastAsia" w:hAnsi="Atkinson Hyperlegible" w:cs="Atkinson Hyperlegible"/>
          <w:i/>
          <w:iCs/>
          <w:color w:val="1A1A1A"/>
          <w:kern w:val="0"/>
          <w:sz w:val="21"/>
          <w:szCs w:val="22"/>
        </w:rPr>
        <w:t xml:space="preserve">restituisce un quadro concreto degli interventi realizzati e degli strumenti informativi sviluppati per conoscere i servizi disponibili nelle spiagge </w:t>
      </w:r>
      <w:r w:rsidR="00703B4F">
        <w:rPr>
          <w:rFonts w:ascii="Atkinson Hyperlegible" w:eastAsiaTheme="minorEastAsia" w:hAnsi="Atkinson Hyperlegible" w:cs="Atkinson Hyperlegible"/>
          <w:i/>
          <w:iCs/>
          <w:color w:val="1A1A1A"/>
          <w:kern w:val="0"/>
          <w:sz w:val="21"/>
          <w:szCs w:val="22"/>
        </w:rPr>
        <w:t>interessate dal progetto</w:t>
      </w:r>
      <w:r>
        <w:rPr>
          <w:rFonts w:ascii="Atkinson Hyperlegible" w:eastAsiaTheme="minorEastAsia" w:hAnsi="Atkinson Hyperlegible" w:cs="Atkinson Hyperlegible"/>
          <w:color w:val="1A1A1A"/>
          <w:kern w:val="0"/>
          <w:sz w:val="21"/>
          <w:szCs w:val="22"/>
        </w:rPr>
        <w:t>”</w:t>
      </w:r>
      <w:r w:rsidR="00114E29">
        <w:rPr>
          <w:rFonts w:ascii="Atkinson Hyperlegible" w:eastAsiaTheme="minorEastAsia" w:hAnsi="Atkinson Hyperlegible" w:cs="Atkinson Hyperlegible"/>
          <w:color w:val="1A1A1A"/>
          <w:kern w:val="0"/>
          <w:sz w:val="21"/>
          <w:szCs w:val="22"/>
        </w:rPr>
        <w:t>.</w:t>
      </w:r>
    </w:p>
    <w:p w14:paraId="0D0477C4" w14:textId="77777777" w:rsidR="00114E29" w:rsidRDefault="00114E29" w:rsidP="00114E29">
      <w:pPr>
        <w:spacing w:after="0"/>
        <w:jc w:val="both"/>
        <w:rPr>
          <w:rFonts w:ascii="Atkinson Hyperlegible" w:eastAsiaTheme="minorEastAsia" w:hAnsi="Atkinson Hyperlegible" w:cs="Atkinson Hyperlegible"/>
          <w:b/>
          <w:caps/>
          <w:color w:val="194173"/>
          <w:kern w:val="0"/>
          <w:sz w:val="23"/>
          <w:szCs w:val="22"/>
        </w:rPr>
      </w:pPr>
    </w:p>
    <w:p w14:paraId="7F733F37" w14:textId="77777777" w:rsidR="00393318" w:rsidRDefault="00393318" w:rsidP="00114E29">
      <w:pPr>
        <w:spacing w:after="0"/>
        <w:jc w:val="both"/>
        <w:rPr>
          <w:rFonts w:ascii="Atkinson Hyperlegible" w:eastAsiaTheme="minorEastAsia" w:hAnsi="Atkinson Hyperlegible" w:cs="Atkinson Hyperlegible"/>
          <w:b/>
          <w:caps/>
          <w:color w:val="194173"/>
          <w:kern w:val="0"/>
          <w:sz w:val="23"/>
          <w:szCs w:val="22"/>
        </w:rPr>
      </w:pPr>
      <w:r>
        <w:rPr>
          <w:rFonts w:ascii="Atkinson Hyperlegible" w:eastAsiaTheme="minorEastAsia" w:hAnsi="Atkinson Hyperlegible" w:cs="Atkinson Hyperlegible"/>
          <w:b/>
          <w:caps/>
          <w:color w:val="194173"/>
          <w:kern w:val="0"/>
          <w:sz w:val="23"/>
          <w:szCs w:val="22"/>
        </w:rPr>
        <w:t xml:space="preserve">QUATTRO </w:t>
      </w:r>
      <w:r w:rsidRPr="00393318">
        <w:rPr>
          <w:rFonts w:ascii="Atkinson Hyperlegible" w:eastAsiaTheme="minorEastAsia" w:hAnsi="Atkinson Hyperlegible" w:cs="Atkinson Hyperlegible"/>
          <w:b/>
          <w:caps/>
          <w:color w:val="194173"/>
          <w:kern w:val="0"/>
          <w:sz w:val="23"/>
          <w:szCs w:val="22"/>
        </w:rPr>
        <w:t>COMUNI PROTAGONISTI DEL PROGETTO</w:t>
      </w:r>
    </w:p>
    <w:p w14:paraId="034D16D9"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Il progetto coinvolge quattro territori della Sardegna: Alghero, Carloforte, La Maddalena e Orosei.</w:t>
      </w:r>
    </w:p>
    <w:p w14:paraId="3F722BAB"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Questi Comuni sono i primi protagonisti di un percorso pilota dedicato all’accessibilità delle esperienze balneari.</w:t>
      </w:r>
    </w:p>
    <w:p w14:paraId="1A0218BE" w14:textId="77777777" w:rsidR="00393318" w:rsidRDefault="00393318" w:rsidP="00114E29">
      <w:pPr>
        <w:pStyle w:val="Titolo2"/>
        <w:spacing w:after="0"/>
        <w:jc w:val="both"/>
        <w:rPr>
          <w:rFonts w:ascii="Atkinson Hyperlegible" w:eastAsiaTheme="minorEastAsia" w:hAnsi="Atkinson Hyperlegible" w:cs="Atkinson Hyperlegible"/>
          <w:color w:val="1A1A1A"/>
          <w:kern w:val="0"/>
          <w:sz w:val="21"/>
          <w:szCs w:val="22"/>
        </w:rPr>
      </w:pPr>
      <w:r w:rsidRPr="00393318">
        <w:rPr>
          <w:rFonts w:ascii="Atkinson Hyperlegible" w:eastAsiaTheme="minorEastAsia" w:hAnsi="Atkinson Hyperlegible" w:cs="Atkinson Hyperlegible"/>
          <w:color w:val="1A1A1A"/>
          <w:kern w:val="0"/>
          <w:sz w:val="21"/>
          <w:szCs w:val="22"/>
        </w:rPr>
        <w:t>L’iniziativa rappresenta un’esperienza pilota dedicata all’accessibilità delle esperienze balneari nei Comuni coinvolti, attraverso attività, strumenti informativi e pratiche sviluppate nell’ambito del progetto.</w:t>
      </w:r>
    </w:p>
    <w:p w14:paraId="5D7BDE6E" w14:textId="77777777" w:rsidR="00114E29" w:rsidRDefault="00114E29" w:rsidP="00114E29">
      <w:pPr>
        <w:pStyle w:val="Titolo2"/>
        <w:spacing w:after="0"/>
        <w:jc w:val="both"/>
        <w:rPr>
          <w:rFonts w:ascii="Atkinson Hyperlegible" w:eastAsiaTheme="minorEastAsia" w:hAnsi="Atkinson Hyperlegible" w:cs="Atkinson Hyperlegible"/>
          <w:b/>
          <w:caps/>
          <w:color w:val="194173"/>
          <w:kern w:val="0"/>
          <w:sz w:val="23"/>
          <w:szCs w:val="22"/>
        </w:rPr>
      </w:pPr>
    </w:p>
    <w:p w14:paraId="7410FEA5" w14:textId="77777777" w:rsidR="003C422E" w:rsidRPr="000E6632" w:rsidRDefault="003C422E" w:rsidP="00114E29">
      <w:pPr>
        <w:pStyle w:val="Titolo2"/>
        <w:spacing w:after="0"/>
        <w:jc w:val="both"/>
        <w:rPr>
          <w:rFonts w:ascii="Atkinson Hyperlegible" w:eastAsiaTheme="minorEastAsia" w:hAnsi="Atkinson Hyperlegible" w:cs="Atkinson Hyperlegible"/>
          <w:b/>
          <w:caps/>
          <w:color w:val="194173"/>
          <w:kern w:val="0"/>
          <w:sz w:val="23"/>
          <w:szCs w:val="22"/>
        </w:rPr>
      </w:pPr>
      <w:r w:rsidRPr="000E6632">
        <w:rPr>
          <w:rFonts w:ascii="Atkinson Hyperlegible" w:eastAsiaTheme="minorEastAsia" w:hAnsi="Atkinson Hyperlegible" w:cs="Atkinson Hyperlegible"/>
          <w:b/>
          <w:caps/>
          <w:color w:val="194173"/>
          <w:kern w:val="0"/>
          <w:sz w:val="23"/>
          <w:szCs w:val="22"/>
        </w:rPr>
        <w:t>Le persone con disabilità partecipano alla costruzione del progetto</w:t>
      </w:r>
    </w:p>
    <w:p w14:paraId="4B05F43B"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“L’Isola che accoglie” mette al centro la partecipazione.</w:t>
      </w:r>
    </w:p>
    <w:p w14:paraId="3E7751AD"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Le persone con disabilità contribuiscono allo sviluppo dell’iniziativa attraverso le loro esperienze, i loro suggerimenti e il loro punto di vista.</w:t>
      </w:r>
    </w:p>
    <w:p w14:paraId="02853650"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Questo contributo è fondamentale per migliorare i servizi e rendere le spiagge e le informazioni turistiche più vicine alle esigenze di tutti.</w:t>
      </w:r>
    </w:p>
    <w:p w14:paraId="4B815415" w14:textId="77777777" w:rsidR="005134AF" w:rsidRPr="006C76E7"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 xml:space="preserve">Il progetto promuove anche nuove opportunità di inclusione </w:t>
      </w:r>
      <w:r w:rsidR="00C33D30" w:rsidRPr="006C76E7">
        <w:rPr>
          <w:rFonts w:ascii="Atkinson Hyperlegible" w:eastAsiaTheme="minorEastAsia" w:hAnsi="Atkinson Hyperlegible" w:cs="Atkinson Hyperlegible"/>
          <w:color w:val="1A1A1A"/>
          <w:kern w:val="0"/>
          <w:sz w:val="21"/>
          <w:szCs w:val="22"/>
        </w:rPr>
        <w:t>e crescita professionale.</w:t>
      </w:r>
    </w:p>
    <w:p w14:paraId="3B838C3D" w14:textId="77777777" w:rsidR="00C33D30" w:rsidRPr="006C76E7" w:rsidRDefault="00C33D30" w:rsidP="00114E29">
      <w:pPr>
        <w:spacing w:after="0"/>
        <w:jc w:val="both"/>
        <w:rPr>
          <w:rFonts w:ascii="Atkinson Hyperlegible" w:eastAsiaTheme="minorEastAsia" w:hAnsi="Atkinson Hyperlegible" w:cs="Atkinson Hyperlegible"/>
          <w:color w:val="1A1A1A"/>
          <w:kern w:val="0"/>
          <w:sz w:val="21"/>
          <w:szCs w:val="22"/>
        </w:rPr>
      </w:pPr>
      <w:r w:rsidRPr="006C76E7">
        <w:rPr>
          <w:rFonts w:ascii="Atkinson Hyperlegible" w:eastAsiaTheme="minorEastAsia" w:hAnsi="Atkinson Hyperlegible" w:cs="Atkinson Hyperlegible"/>
          <w:color w:val="1A1A1A"/>
          <w:kern w:val="0"/>
          <w:sz w:val="21"/>
          <w:szCs w:val="22"/>
        </w:rPr>
        <w:lastRenderedPageBreak/>
        <w:t>Nei Comuni coinvolti sono stati attivati tirocini nel settore turistico, che permettono di acquisire nuove competenze con il supporto di un tutor. In alcuni casi, il percorso ha portato anche ad assunzioni a tempo determinato.</w:t>
      </w:r>
    </w:p>
    <w:p w14:paraId="40A7CC23" w14:textId="77777777" w:rsidR="00C33D30" w:rsidRPr="00C33D30" w:rsidRDefault="00C33D30" w:rsidP="00114E29">
      <w:pPr>
        <w:spacing w:after="0"/>
        <w:jc w:val="both"/>
        <w:rPr>
          <w:rFonts w:ascii="Atkinson Hyperlegible" w:eastAsiaTheme="minorEastAsia" w:hAnsi="Atkinson Hyperlegible" w:cs="Atkinson Hyperlegible"/>
          <w:color w:val="1A1A1A"/>
          <w:kern w:val="0"/>
          <w:sz w:val="21"/>
          <w:szCs w:val="22"/>
        </w:rPr>
      </w:pPr>
      <w:r w:rsidRPr="006C76E7">
        <w:rPr>
          <w:rFonts w:ascii="Atkinson Hyperlegible" w:eastAsiaTheme="minorEastAsia" w:hAnsi="Atkinson Hyperlegible" w:cs="Atkinson Hyperlegible"/>
          <w:color w:val="1A1A1A"/>
          <w:kern w:val="0"/>
          <w:sz w:val="21"/>
          <w:szCs w:val="22"/>
        </w:rPr>
        <w:t>L’iniziativa prevede inoltre attività di formazione dedicate agli operatori turistici, per rafforzare le competenze sull’accoglienza accessibile e favorire una cultura inclusiva.</w:t>
      </w:r>
    </w:p>
    <w:p w14:paraId="004F3B9A"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Al termine del percorso è previsto un evento finale durante il quale i tirocinanti racconteranno la propria esperienza e il contributo dato alla realizzazione del progetto.</w:t>
      </w:r>
    </w:p>
    <w:p w14:paraId="7AAE3119" w14:textId="77777777" w:rsidR="003C422E" w:rsidRPr="000E6632" w:rsidRDefault="003C422E" w:rsidP="00114E29">
      <w:pPr>
        <w:pStyle w:val="Titolo2"/>
        <w:spacing w:after="0"/>
        <w:jc w:val="both"/>
        <w:rPr>
          <w:rFonts w:ascii="Atkinson Hyperlegible" w:eastAsiaTheme="minorEastAsia" w:hAnsi="Atkinson Hyperlegible" w:cs="Atkinson Hyperlegible"/>
          <w:b/>
          <w:caps/>
          <w:color w:val="194173"/>
          <w:kern w:val="0"/>
          <w:sz w:val="23"/>
          <w:szCs w:val="22"/>
        </w:rPr>
      </w:pPr>
      <w:r w:rsidRPr="000E6632">
        <w:rPr>
          <w:rFonts w:ascii="Atkinson Hyperlegible" w:eastAsiaTheme="minorEastAsia" w:hAnsi="Atkinson Hyperlegible" w:cs="Atkinson Hyperlegible"/>
          <w:b/>
          <w:caps/>
          <w:color w:val="194173"/>
          <w:kern w:val="0"/>
          <w:sz w:val="23"/>
          <w:szCs w:val="22"/>
        </w:rPr>
        <w:t>Informazioni più semplici per organizzare la vacanza</w:t>
      </w:r>
    </w:p>
    <w:p w14:paraId="079E8818"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Il progetto interviene anche sull’accessibilità delle informazioni.</w:t>
      </w:r>
    </w:p>
    <w:p w14:paraId="67D7B3E5"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Per ogni spiaggia coinvolta saranno realizzate schede informative chiare e complete, che permetteranno di conoscere in anticipo i servizi disponibili.</w:t>
      </w:r>
    </w:p>
    <w:p w14:paraId="591D345A"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Le schede indicheranno, ad esempio, la presenza di passerelle di accesso, ausili per la balneazione, servizi igienici accessibili, spogliatoi dedicati, parcheggi riservati e servizi di assistenza.</w:t>
      </w:r>
    </w:p>
    <w:p w14:paraId="506E4A91" w14:textId="77777777" w:rsidR="005134AF" w:rsidRPr="0058254E" w:rsidRDefault="005134AF" w:rsidP="00114E29">
      <w:pPr>
        <w:spacing w:after="0"/>
        <w:jc w:val="both"/>
        <w:rPr>
          <w:rFonts w:ascii="Atkinson Hyperlegible" w:eastAsiaTheme="minorEastAsia" w:hAnsi="Atkinson Hyperlegible" w:cs="Atkinson Hyperlegible"/>
          <w:strike/>
          <w:color w:val="1A1A1A"/>
          <w:kern w:val="0"/>
          <w:sz w:val="21"/>
          <w:szCs w:val="22"/>
        </w:rPr>
      </w:pPr>
      <w:r w:rsidRPr="000E6632">
        <w:rPr>
          <w:rFonts w:ascii="Atkinson Hyperlegible" w:eastAsiaTheme="minorEastAsia" w:hAnsi="Atkinson Hyperlegible" w:cs="Atkinson Hyperlegible"/>
          <w:color w:val="1A1A1A"/>
          <w:kern w:val="0"/>
          <w:sz w:val="21"/>
          <w:szCs w:val="22"/>
        </w:rPr>
        <w:t xml:space="preserve">Le informazioni saranno pubblicate sui siti dei Comuni coinvolti, sul portale </w:t>
      </w:r>
      <w:proofErr w:type="spellStart"/>
      <w:r w:rsidRPr="000E6632">
        <w:rPr>
          <w:rFonts w:ascii="Atkinson Hyperlegible" w:eastAsiaTheme="minorEastAsia" w:hAnsi="Atkinson Hyperlegible" w:cs="Atkinson Hyperlegible"/>
          <w:color w:val="1A1A1A"/>
          <w:kern w:val="0"/>
          <w:sz w:val="21"/>
          <w:szCs w:val="22"/>
        </w:rPr>
        <w:t>SardegnaTurismo</w:t>
      </w:r>
      <w:proofErr w:type="spellEnd"/>
      <w:r w:rsidR="005E7BBD">
        <w:rPr>
          <w:rFonts w:ascii="Atkinson Hyperlegible" w:eastAsiaTheme="minorEastAsia" w:hAnsi="Atkinson Hyperlegible" w:cs="Atkinson Hyperlegible"/>
          <w:color w:val="1A1A1A"/>
          <w:kern w:val="0"/>
          <w:sz w:val="21"/>
          <w:szCs w:val="22"/>
        </w:rPr>
        <w:t xml:space="preserve">. </w:t>
      </w:r>
    </w:p>
    <w:p w14:paraId="322F8FC4" w14:textId="77777777" w:rsidR="005134AF" w:rsidRPr="000E6632" w:rsidRDefault="005134AF" w:rsidP="00114E29">
      <w:pPr>
        <w:spacing w:after="0"/>
        <w:jc w:val="both"/>
        <w:rPr>
          <w:rFonts w:ascii="Atkinson Hyperlegible" w:eastAsiaTheme="minorEastAsia" w:hAnsi="Atkinson Hyperlegible" w:cs="Atkinson Hyperlegible"/>
          <w:color w:val="1A1A1A"/>
          <w:kern w:val="0"/>
          <w:sz w:val="21"/>
          <w:szCs w:val="22"/>
        </w:rPr>
      </w:pPr>
      <w:r w:rsidRPr="000E6632">
        <w:rPr>
          <w:rFonts w:ascii="Atkinson Hyperlegible" w:eastAsiaTheme="minorEastAsia" w:hAnsi="Atkinson Hyperlegible" w:cs="Atkinson Hyperlegible"/>
          <w:color w:val="1A1A1A"/>
          <w:kern w:val="0"/>
          <w:sz w:val="21"/>
          <w:szCs w:val="22"/>
        </w:rPr>
        <w:t>I contenuti saranno realizzati secondo gli standard internazionali di accessibilità digitale WCAG 2.1 – livello AA, per garantire una consultazione semplice da parte del maggior numero possibile di persone.</w:t>
      </w:r>
    </w:p>
    <w:p w14:paraId="65AB2C0A" w14:textId="77777777" w:rsidR="00114E29" w:rsidRDefault="00114E29" w:rsidP="00114E29">
      <w:pPr>
        <w:spacing w:after="0"/>
        <w:jc w:val="both"/>
        <w:rPr>
          <w:rFonts w:ascii="Atkinson Hyperlegible" w:eastAsiaTheme="minorEastAsia" w:hAnsi="Atkinson Hyperlegible" w:cs="Atkinson Hyperlegible"/>
          <w:b/>
          <w:caps/>
          <w:color w:val="194173"/>
          <w:kern w:val="0"/>
          <w:sz w:val="23"/>
          <w:szCs w:val="22"/>
        </w:rPr>
      </w:pPr>
    </w:p>
    <w:p w14:paraId="72C573AA" w14:textId="77777777" w:rsidR="00393318" w:rsidRDefault="00393318" w:rsidP="00114E29">
      <w:pPr>
        <w:spacing w:after="0"/>
        <w:jc w:val="both"/>
        <w:rPr>
          <w:rFonts w:ascii="Atkinson Hyperlegible" w:eastAsiaTheme="minorEastAsia" w:hAnsi="Atkinson Hyperlegible" w:cs="Atkinson Hyperlegible"/>
          <w:b/>
          <w:caps/>
          <w:color w:val="194173"/>
          <w:kern w:val="0"/>
          <w:sz w:val="23"/>
          <w:szCs w:val="22"/>
        </w:rPr>
      </w:pPr>
      <w:r>
        <w:rPr>
          <w:rFonts w:ascii="Atkinson Hyperlegible" w:eastAsiaTheme="minorEastAsia" w:hAnsi="Atkinson Hyperlegible" w:cs="Atkinson Hyperlegible"/>
          <w:b/>
          <w:caps/>
          <w:color w:val="194173"/>
          <w:kern w:val="0"/>
          <w:sz w:val="23"/>
          <w:szCs w:val="22"/>
        </w:rPr>
        <w:t>UN’</w:t>
      </w:r>
      <w:r w:rsidRPr="00393318">
        <w:rPr>
          <w:rFonts w:ascii="Atkinson Hyperlegible" w:eastAsiaTheme="minorEastAsia" w:hAnsi="Atkinson Hyperlegible" w:cs="Atkinson Hyperlegible"/>
          <w:b/>
          <w:caps/>
          <w:color w:val="194173"/>
          <w:kern w:val="0"/>
          <w:sz w:val="23"/>
          <w:szCs w:val="22"/>
        </w:rPr>
        <w:t xml:space="preserve">ESPERIENZA RACCONTATA ATTRAVERSO IMMAGINI E CONTENUTI </w:t>
      </w:r>
    </w:p>
    <w:p w14:paraId="1BF34083" w14:textId="77777777" w:rsidR="005134AF" w:rsidRPr="005E7BBD" w:rsidRDefault="005134AF" w:rsidP="00114E29">
      <w:pPr>
        <w:spacing w:after="0"/>
        <w:jc w:val="both"/>
        <w:rPr>
          <w:rFonts w:ascii="Atkinson Hyperlegible" w:eastAsiaTheme="minorEastAsia" w:hAnsi="Atkinson Hyperlegible" w:cs="Atkinson Hyperlegible"/>
          <w:color w:val="1A1A1A"/>
          <w:kern w:val="0"/>
          <w:sz w:val="21"/>
          <w:szCs w:val="22"/>
        </w:rPr>
      </w:pPr>
      <w:r w:rsidRPr="005E7BBD">
        <w:rPr>
          <w:rFonts w:ascii="Atkinson Hyperlegible" w:eastAsiaTheme="minorEastAsia" w:hAnsi="Atkinson Hyperlegible" w:cs="Atkinson Hyperlegible"/>
          <w:color w:val="1A1A1A"/>
          <w:kern w:val="0"/>
          <w:sz w:val="21"/>
          <w:szCs w:val="22"/>
        </w:rPr>
        <w:t>“L’Isola che accoglie” nasce nei quattro Comuni pilota,</w:t>
      </w:r>
      <w:r w:rsidR="00D70203" w:rsidRPr="005E7BBD">
        <w:rPr>
          <w:rFonts w:ascii="Atkinson Hyperlegible" w:eastAsiaTheme="minorEastAsia" w:hAnsi="Atkinson Hyperlegible" w:cs="Atkinson Hyperlegible"/>
          <w:color w:val="1A1A1A"/>
          <w:kern w:val="0"/>
          <w:sz w:val="21"/>
          <w:szCs w:val="22"/>
        </w:rPr>
        <w:t xml:space="preserve"> ma raccoglie un’esperienza che potrebbe essere condivisa.</w:t>
      </w:r>
    </w:p>
    <w:p w14:paraId="5DFEAFE3" w14:textId="77777777" w:rsidR="005134AF" w:rsidRPr="005E7BBD" w:rsidRDefault="00D70203" w:rsidP="00114E29">
      <w:pPr>
        <w:spacing w:after="0"/>
        <w:jc w:val="both"/>
        <w:rPr>
          <w:rFonts w:ascii="Atkinson Hyperlegible" w:eastAsiaTheme="minorEastAsia" w:hAnsi="Atkinson Hyperlegible" w:cs="Atkinson Hyperlegible"/>
          <w:color w:val="1A1A1A"/>
          <w:kern w:val="0"/>
          <w:sz w:val="21"/>
          <w:szCs w:val="22"/>
        </w:rPr>
      </w:pPr>
      <w:r w:rsidRPr="005E7BBD">
        <w:rPr>
          <w:rFonts w:ascii="Atkinson Hyperlegible" w:eastAsiaTheme="minorEastAsia" w:hAnsi="Atkinson Hyperlegible" w:cs="Atkinson Hyperlegible"/>
          <w:color w:val="1A1A1A"/>
          <w:kern w:val="0"/>
          <w:sz w:val="21"/>
          <w:szCs w:val="22"/>
        </w:rPr>
        <w:t>L’iniziativa</w:t>
      </w:r>
      <w:r w:rsidR="005134AF" w:rsidRPr="005E7BBD">
        <w:rPr>
          <w:rFonts w:ascii="Atkinson Hyperlegible" w:eastAsiaTheme="minorEastAsia" w:hAnsi="Atkinson Hyperlegible" w:cs="Atkinson Hyperlegible"/>
          <w:color w:val="1A1A1A"/>
          <w:kern w:val="0"/>
          <w:sz w:val="21"/>
          <w:szCs w:val="22"/>
        </w:rPr>
        <w:t xml:space="preserve"> prevede anche la realizzazione di materiali di comunicazione, tra cui un documentario, una versione breve del video e uno spot dedicato ai risultati raggiunti.</w:t>
      </w:r>
    </w:p>
    <w:p w14:paraId="0EAE908D" w14:textId="77777777" w:rsidR="00703B4F" w:rsidRPr="000E6632" w:rsidRDefault="00D70203" w:rsidP="00114E29">
      <w:pPr>
        <w:spacing w:after="0"/>
        <w:jc w:val="both"/>
        <w:rPr>
          <w:rFonts w:ascii="Atkinson Hyperlegible" w:eastAsiaTheme="minorEastAsia" w:hAnsi="Atkinson Hyperlegible" w:cs="Atkinson Hyperlegible"/>
          <w:color w:val="1A1A1A"/>
          <w:kern w:val="0"/>
          <w:sz w:val="21"/>
          <w:szCs w:val="22"/>
        </w:rPr>
      </w:pPr>
      <w:r w:rsidRPr="005E7BBD">
        <w:rPr>
          <w:rFonts w:ascii="Atkinson Hyperlegible" w:eastAsiaTheme="minorEastAsia" w:hAnsi="Atkinson Hyperlegible" w:cs="Atkinson Hyperlegible"/>
          <w:color w:val="1A1A1A"/>
          <w:kern w:val="0"/>
          <w:sz w:val="21"/>
          <w:szCs w:val="22"/>
        </w:rPr>
        <w:t>Questi contenuti raccontano le attività svolte nei Comuni coinvolti e documentano gli strumenti e le buone pratiche sviluppati durante il progetto.</w:t>
      </w:r>
    </w:p>
    <w:sectPr w:rsidR="00703B4F" w:rsidRPr="000E6632" w:rsidSect="00F97E61">
      <w:headerReference w:type="even" r:id="rId6"/>
      <w:headerReference w:type="default" r:id="rId7"/>
      <w:footerReference w:type="even" r:id="rId8"/>
      <w:footerReference w:type="default" r:id="rId9"/>
      <w:headerReference w:type="first" r:id="rId10"/>
      <w:footerReference w:type="first" r:id="rId11"/>
      <w:pgSz w:w="11906" w:h="16838"/>
      <w:pgMar w:top="223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A265" w14:textId="77777777" w:rsidR="000016BC" w:rsidRDefault="000016BC" w:rsidP="00A63A0D">
      <w:pPr>
        <w:spacing w:after="0" w:line="240" w:lineRule="auto"/>
      </w:pPr>
      <w:r>
        <w:separator/>
      </w:r>
    </w:p>
  </w:endnote>
  <w:endnote w:type="continuationSeparator" w:id="0">
    <w:p w14:paraId="4350C25A" w14:textId="77777777" w:rsidR="000016BC" w:rsidRDefault="000016BC" w:rsidP="00A63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kinson Hyperlegible">
    <w:altName w:val="Times New Roman"/>
    <w:panose1 w:val="00000000000000000000"/>
    <w:charset w:val="00"/>
    <w:family w:val="auto"/>
    <w:pitch w:val="variable"/>
    <w:sig w:usb0="800000EF" w:usb1="0000204B"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FF5D" w14:textId="77777777" w:rsidR="00F97E61" w:rsidRDefault="00F97E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A23C" w14:textId="77777777" w:rsidR="00114E29" w:rsidRDefault="00114E29">
    <w:pPr>
      <w:pStyle w:val="Pidipagina"/>
    </w:pPr>
  </w:p>
  <w:p w14:paraId="7C72BFCB" w14:textId="77777777" w:rsidR="00023BBD" w:rsidRDefault="00114E29" w:rsidP="00114E29">
    <w:pPr>
      <w:pStyle w:val="Pidipagina"/>
      <w:jc w:val="center"/>
    </w:pPr>
    <w:r w:rsidRPr="00114E29">
      <w:rPr>
        <w:noProof/>
        <w:lang w:eastAsia="it-IT"/>
      </w:rPr>
      <w:drawing>
        <wp:anchor distT="0" distB="0" distL="114300" distR="114300" simplePos="0" relativeHeight="251662336" behindDoc="0" locked="0" layoutInCell="1" allowOverlap="1" wp14:anchorId="2BFDE70D" wp14:editId="4695A295">
          <wp:simplePos x="0" y="0"/>
          <wp:positionH relativeFrom="margin">
            <wp:posOffset>1807845</wp:posOffset>
          </wp:positionH>
          <wp:positionV relativeFrom="margin">
            <wp:posOffset>8659495</wp:posOffset>
          </wp:positionV>
          <wp:extent cx="2270125" cy="277495"/>
          <wp:effectExtent l="19050" t="0" r="0" b="0"/>
          <wp:wrapSquare wrapText="bothSides"/>
          <wp:docPr id="5" name="Picture 1" descr="Logo con la scritta 'Sardegna' in caratteri multicolore: verde oliva, arancio, giallo, blu e ro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97226" name="Picture 1" descr="Logo con la scritta 'Sardegna' in caratteri multicolore: verde oliva, arancio, giallo, blu e rosso"/>
                  <pic:cNvPicPr>
                    <a:picLocks noChangeAspect="1"/>
                  </pic:cNvPicPr>
                </pic:nvPicPr>
                <pic:blipFill>
                  <a:blip r:embed="rId1"/>
                  <a:stretch>
                    <a:fillRect/>
                  </a:stretch>
                </pic:blipFill>
                <pic:spPr>
                  <a:xfrm>
                    <a:off x="0" y="0"/>
                    <a:ext cx="2270125" cy="27749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55468" w14:textId="77777777" w:rsidR="00F97E61" w:rsidRDefault="00F97E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CEE5A" w14:textId="77777777" w:rsidR="000016BC" w:rsidRDefault="000016BC" w:rsidP="00A63A0D">
      <w:pPr>
        <w:spacing w:after="0" w:line="240" w:lineRule="auto"/>
      </w:pPr>
      <w:r>
        <w:separator/>
      </w:r>
    </w:p>
  </w:footnote>
  <w:footnote w:type="continuationSeparator" w:id="0">
    <w:p w14:paraId="7DD3039D" w14:textId="77777777" w:rsidR="000016BC" w:rsidRDefault="000016BC" w:rsidP="00A63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C963" w14:textId="77777777" w:rsidR="00F97E61" w:rsidRDefault="00F97E6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A085" w14:textId="77777777" w:rsidR="00F97E61" w:rsidRDefault="00F97E61">
    <w:pPr>
      <w:pStyle w:val="Intestazione"/>
    </w:pPr>
    <w:r w:rsidRPr="00F97E61">
      <w:rPr>
        <w:noProof/>
        <w:lang w:eastAsia="it-IT"/>
      </w:rPr>
      <w:drawing>
        <wp:anchor distT="0" distB="0" distL="114300" distR="114300" simplePos="0" relativeHeight="251664384" behindDoc="0" locked="0" layoutInCell="1" allowOverlap="1" wp14:anchorId="13A3088A" wp14:editId="708B530C">
          <wp:simplePos x="0" y="0"/>
          <wp:positionH relativeFrom="margin">
            <wp:posOffset>2066925</wp:posOffset>
          </wp:positionH>
          <wp:positionV relativeFrom="margin">
            <wp:posOffset>-1296670</wp:posOffset>
          </wp:positionV>
          <wp:extent cx="1901190" cy="1118870"/>
          <wp:effectExtent l="19050" t="0" r="3810" b="0"/>
          <wp:wrapSquare wrapText="bothSides"/>
          <wp:docPr id="7" name="Picture 2" descr="Stemma della Regione Autonoma della Sardegna con i quattro mori, accompagnato dalla scritta 'Regione Autonoma de Sardigna – Regione Autonoma della Sarde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11757" name="Picture 2" descr="Stemma della Regione Autonoma della Sardegna con i quattro mori, accompagnato dalla scritta 'Regione Autonoma de Sardigna – Regione Autonoma della Sardegna"/>
                  <pic:cNvPicPr>
                    <a:picLocks noChangeAspect="1"/>
                  </pic:cNvPicPr>
                </pic:nvPicPr>
                <pic:blipFill>
                  <a:blip r:embed="rId1"/>
                  <a:stretch>
                    <a:fillRect/>
                  </a:stretch>
                </pic:blipFill>
                <pic:spPr>
                  <a:xfrm>
                    <a:off x="0" y="0"/>
                    <a:ext cx="1901190" cy="1118870"/>
                  </a:xfrm>
                  <a:prstGeom prst="rect">
                    <a:avLst/>
                  </a:prstGeom>
                </pic:spPr>
              </pic:pic>
            </a:graphicData>
          </a:graphic>
        </wp:anchor>
      </w:drawing>
    </w:r>
  </w:p>
  <w:p w14:paraId="781CE0A9" w14:textId="77777777" w:rsidR="00A63A0D" w:rsidRDefault="00A63A0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8A43" w14:textId="77777777" w:rsidR="00F97E61" w:rsidRDefault="00F97E6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0D"/>
    <w:rsid w:val="000016BC"/>
    <w:rsid w:val="00023BBD"/>
    <w:rsid w:val="000518FD"/>
    <w:rsid w:val="000E171C"/>
    <w:rsid w:val="000E6632"/>
    <w:rsid w:val="00114E29"/>
    <w:rsid w:val="00180690"/>
    <w:rsid w:val="0020105E"/>
    <w:rsid w:val="00270655"/>
    <w:rsid w:val="002C5A4B"/>
    <w:rsid w:val="002C6629"/>
    <w:rsid w:val="0030550C"/>
    <w:rsid w:val="0036119A"/>
    <w:rsid w:val="00393318"/>
    <w:rsid w:val="003C422E"/>
    <w:rsid w:val="00494BB6"/>
    <w:rsid w:val="004D54C4"/>
    <w:rsid w:val="00511E78"/>
    <w:rsid w:val="005134AF"/>
    <w:rsid w:val="0058254E"/>
    <w:rsid w:val="00591105"/>
    <w:rsid w:val="005E7BBD"/>
    <w:rsid w:val="005F55AD"/>
    <w:rsid w:val="00621F69"/>
    <w:rsid w:val="00696535"/>
    <w:rsid w:val="006A19D9"/>
    <w:rsid w:val="006B63F8"/>
    <w:rsid w:val="006C4838"/>
    <w:rsid w:val="006C76E7"/>
    <w:rsid w:val="006D4C04"/>
    <w:rsid w:val="00703B4F"/>
    <w:rsid w:val="00776323"/>
    <w:rsid w:val="007D6C83"/>
    <w:rsid w:val="008A68D1"/>
    <w:rsid w:val="009A4F6A"/>
    <w:rsid w:val="00A1100C"/>
    <w:rsid w:val="00A534ED"/>
    <w:rsid w:val="00A63A0D"/>
    <w:rsid w:val="00AC15BD"/>
    <w:rsid w:val="00AF3CCC"/>
    <w:rsid w:val="00B60424"/>
    <w:rsid w:val="00C30C67"/>
    <w:rsid w:val="00C33D30"/>
    <w:rsid w:val="00D47B78"/>
    <w:rsid w:val="00D56763"/>
    <w:rsid w:val="00D70203"/>
    <w:rsid w:val="00DD425C"/>
    <w:rsid w:val="00E012FA"/>
    <w:rsid w:val="00EC3C84"/>
    <w:rsid w:val="00EE0099"/>
    <w:rsid w:val="00F72259"/>
    <w:rsid w:val="00F97E6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32B8C"/>
  <w15:docId w15:val="{C3F2B05D-2615-4CFB-A3AB-106F0D64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0099"/>
  </w:style>
  <w:style w:type="paragraph" w:styleId="Titolo1">
    <w:name w:val="heading 1"/>
    <w:basedOn w:val="Normale"/>
    <w:next w:val="Normale"/>
    <w:link w:val="Titolo1Carattere"/>
    <w:uiPriority w:val="9"/>
    <w:qFormat/>
    <w:rsid w:val="00A63A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63A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63A0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63A0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63A0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63A0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63A0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63A0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63A0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63A0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63A0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63A0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63A0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63A0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63A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63A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63A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63A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A63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63A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63A0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63A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63A0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63A0D"/>
    <w:rPr>
      <w:i/>
      <w:iCs/>
      <w:color w:val="404040" w:themeColor="text1" w:themeTint="BF"/>
    </w:rPr>
  </w:style>
  <w:style w:type="paragraph" w:styleId="Paragrafoelenco">
    <w:name w:val="List Paragraph"/>
    <w:basedOn w:val="Normale"/>
    <w:uiPriority w:val="34"/>
    <w:qFormat/>
    <w:rsid w:val="00A63A0D"/>
    <w:pPr>
      <w:ind w:left="720"/>
      <w:contextualSpacing/>
    </w:pPr>
  </w:style>
  <w:style w:type="character" w:styleId="Enfasiintensa">
    <w:name w:val="Intense Emphasis"/>
    <w:basedOn w:val="Carpredefinitoparagrafo"/>
    <w:uiPriority w:val="21"/>
    <w:qFormat/>
    <w:rsid w:val="00A63A0D"/>
    <w:rPr>
      <w:i/>
      <w:iCs/>
      <w:color w:val="2F5496" w:themeColor="accent1" w:themeShade="BF"/>
    </w:rPr>
  </w:style>
  <w:style w:type="paragraph" w:styleId="Citazioneintensa">
    <w:name w:val="Intense Quote"/>
    <w:basedOn w:val="Normale"/>
    <w:next w:val="Normale"/>
    <w:link w:val="CitazioneintensaCarattere"/>
    <w:uiPriority w:val="30"/>
    <w:qFormat/>
    <w:rsid w:val="00A63A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63A0D"/>
    <w:rPr>
      <w:i/>
      <w:iCs/>
      <w:color w:val="2F5496" w:themeColor="accent1" w:themeShade="BF"/>
    </w:rPr>
  </w:style>
  <w:style w:type="character" w:styleId="Riferimentointenso">
    <w:name w:val="Intense Reference"/>
    <w:basedOn w:val="Carpredefinitoparagrafo"/>
    <w:uiPriority w:val="32"/>
    <w:qFormat/>
    <w:rsid w:val="00A63A0D"/>
    <w:rPr>
      <w:b/>
      <w:bCs/>
      <w:smallCaps/>
      <w:color w:val="2F5496" w:themeColor="accent1" w:themeShade="BF"/>
      <w:spacing w:val="5"/>
    </w:rPr>
  </w:style>
  <w:style w:type="paragraph" w:styleId="Intestazione">
    <w:name w:val="header"/>
    <w:basedOn w:val="Normale"/>
    <w:link w:val="IntestazioneCarattere"/>
    <w:uiPriority w:val="99"/>
    <w:unhideWhenUsed/>
    <w:rsid w:val="00A63A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3A0D"/>
  </w:style>
  <w:style w:type="paragraph" w:styleId="Pidipagina">
    <w:name w:val="footer"/>
    <w:basedOn w:val="Normale"/>
    <w:link w:val="PidipaginaCarattere"/>
    <w:uiPriority w:val="99"/>
    <w:unhideWhenUsed/>
    <w:rsid w:val="00A63A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3A0D"/>
  </w:style>
  <w:style w:type="paragraph" w:customStyle="1" w:styleId="Titolo10">
    <w:name w:val="Titolo1"/>
    <w:basedOn w:val="Normale"/>
    <w:rsid w:val="000E6632"/>
    <w:pPr>
      <w:keepNext/>
      <w:spacing w:after="80" w:line="276" w:lineRule="auto"/>
    </w:pPr>
    <w:rPr>
      <w:rFonts w:ascii="Atkinson Hyperlegible" w:eastAsiaTheme="minorEastAsia" w:hAnsi="Atkinson Hyperlegible" w:cs="Atkinson Hyperlegible"/>
      <w:b/>
      <w:color w:val="194173"/>
      <w:kern w:val="0"/>
      <w:sz w:val="34"/>
      <w:szCs w:val="22"/>
      <w:lang w:val="en-US"/>
    </w:rPr>
  </w:style>
  <w:style w:type="paragraph" w:customStyle="1" w:styleId="Sezione">
    <w:name w:val="Sezione"/>
    <w:basedOn w:val="Normale"/>
    <w:rsid w:val="000E6632"/>
    <w:pPr>
      <w:keepNext/>
      <w:spacing w:before="260" w:after="100" w:line="276" w:lineRule="auto"/>
    </w:pPr>
    <w:rPr>
      <w:rFonts w:ascii="Atkinson Hyperlegible" w:eastAsiaTheme="minorEastAsia" w:hAnsi="Atkinson Hyperlegible" w:cs="Atkinson Hyperlegible"/>
      <w:b/>
      <w:caps/>
      <w:color w:val="194173"/>
      <w:kern w:val="0"/>
      <w:sz w:val="23"/>
      <w:szCs w:val="22"/>
      <w:lang w:val="en-US"/>
    </w:rPr>
  </w:style>
  <w:style w:type="paragraph" w:customStyle="1" w:styleId="Sottotitolo1">
    <w:name w:val="Sottotitolo1"/>
    <w:basedOn w:val="Normale"/>
    <w:rsid w:val="000E6632"/>
    <w:pPr>
      <w:keepNext/>
      <w:spacing w:after="240" w:line="276" w:lineRule="auto"/>
    </w:pPr>
    <w:rPr>
      <w:rFonts w:ascii="Atkinson Hyperlegible" w:eastAsiaTheme="minorEastAsia" w:hAnsi="Atkinson Hyperlegible" w:cs="Atkinson Hyperlegible"/>
      <w:color w:val="5A5A5A"/>
      <w:kern w:val="0"/>
      <w:szCs w:val="22"/>
      <w:lang w:val="en-US"/>
    </w:rPr>
  </w:style>
  <w:style w:type="character" w:styleId="Rimandocommento">
    <w:name w:val="annotation reference"/>
    <w:basedOn w:val="Carpredefinitoparagrafo"/>
    <w:uiPriority w:val="99"/>
    <w:semiHidden/>
    <w:unhideWhenUsed/>
    <w:rsid w:val="006C76E7"/>
    <w:rPr>
      <w:sz w:val="16"/>
      <w:szCs w:val="16"/>
    </w:rPr>
  </w:style>
  <w:style w:type="paragraph" w:styleId="Testocommento">
    <w:name w:val="annotation text"/>
    <w:basedOn w:val="Normale"/>
    <w:link w:val="TestocommentoCarattere"/>
    <w:uiPriority w:val="99"/>
    <w:semiHidden/>
    <w:unhideWhenUsed/>
    <w:rsid w:val="006C76E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C76E7"/>
    <w:rPr>
      <w:sz w:val="20"/>
      <w:szCs w:val="20"/>
    </w:rPr>
  </w:style>
  <w:style w:type="paragraph" w:styleId="Soggettocommento">
    <w:name w:val="annotation subject"/>
    <w:basedOn w:val="Testocommento"/>
    <w:next w:val="Testocommento"/>
    <w:link w:val="SoggettocommentoCarattere"/>
    <w:uiPriority w:val="99"/>
    <w:semiHidden/>
    <w:unhideWhenUsed/>
    <w:rsid w:val="006C76E7"/>
    <w:rPr>
      <w:b/>
      <w:bCs/>
    </w:rPr>
  </w:style>
  <w:style w:type="character" w:customStyle="1" w:styleId="SoggettocommentoCarattere">
    <w:name w:val="Soggetto commento Carattere"/>
    <w:basedOn w:val="TestocommentoCarattere"/>
    <w:link w:val="Soggettocommento"/>
    <w:uiPriority w:val="99"/>
    <w:semiHidden/>
    <w:rsid w:val="006C76E7"/>
    <w:rPr>
      <w:b/>
      <w:bCs/>
      <w:sz w:val="20"/>
      <w:szCs w:val="20"/>
    </w:rPr>
  </w:style>
  <w:style w:type="paragraph" w:styleId="Testofumetto">
    <w:name w:val="Balloon Text"/>
    <w:basedOn w:val="Normale"/>
    <w:link w:val="TestofumettoCarattere"/>
    <w:uiPriority w:val="99"/>
    <w:semiHidden/>
    <w:unhideWhenUsed/>
    <w:rsid w:val="006C76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7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43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686</Words>
  <Characters>3916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Regione Autonoma Sardegna</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Novero</dc:creator>
  <cp:lastModifiedBy>Serena Novero</cp:lastModifiedBy>
  <cp:revision>3</cp:revision>
  <dcterms:created xsi:type="dcterms:W3CDTF">2026-07-31T10:30:00Z</dcterms:created>
  <dcterms:modified xsi:type="dcterms:W3CDTF">2026-08-03T08:04:00Z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ee3503f5-5c7c-44df-95f1-a79378c23760</vt:lpwstr>
  </property>
</Properties>
</file>