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2" w14:textId="08130C0F" w:rsidR="008F33D9" w:rsidRPr="00CC6F54" w:rsidRDefault="008F33D9" w:rsidP="008B10C4">
      <w:pPr>
        <w:rPr>
          <w:rFonts w:ascii="Poppins" w:eastAsia="Poppins" w:hAnsi="Poppins" w:cs="Poppins"/>
          <w:i/>
          <w:iCs/>
          <w:sz w:val="20"/>
          <w:szCs w:val="20"/>
          <w:highlight w:val="yellow"/>
        </w:rPr>
      </w:pPr>
    </w:p>
    <w:p w14:paraId="440ADB23" w14:textId="77777777" w:rsidR="000A4ACB" w:rsidRDefault="000A4ACB" w:rsidP="001A7E87">
      <w:pPr>
        <w:jc w:val="center"/>
        <w:rPr>
          <w:rFonts w:ascii="Poppins" w:eastAsia="Poppins" w:hAnsi="Poppins" w:cs="Poppins"/>
          <w:b/>
          <w:bCs/>
          <w:sz w:val="24"/>
          <w:szCs w:val="24"/>
        </w:rPr>
      </w:pPr>
      <w:r w:rsidRPr="000A4ACB">
        <w:rPr>
          <w:rFonts w:ascii="Poppins" w:eastAsia="Poppins" w:hAnsi="Poppins" w:cs="Poppins"/>
          <w:b/>
          <w:bCs/>
          <w:sz w:val="24"/>
          <w:szCs w:val="24"/>
        </w:rPr>
        <w:t>Aruba conquista il riconoscimento UNESCO: l'isola diventa Riserva della Biosfer</w:t>
      </w:r>
      <w:r>
        <w:rPr>
          <w:rFonts w:ascii="Poppins" w:eastAsia="Poppins" w:hAnsi="Poppins" w:cs="Poppins"/>
          <w:b/>
          <w:bCs/>
          <w:sz w:val="24"/>
          <w:szCs w:val="24"/>
        </w:rPr>
        <w:t>a</w:t>
      </w:r>
    </w:p>
    <w:p w14:paraId="5917A2E9" w14:textId="786B0D04" w:rsidR="00816A90" w:rsidRDefault="00CF185B" w:rsidP="001A7E87">
      <w:pPr>
        <w:jc w:val="center"/>
        <w:rPr>
          <w:rFonts w:ascii="Poppins" w:eastAsia="Poppins" w:hAnsi="Poppins" w:cs="Poppins"/>
          <w:sz w:val="20"/>
          <w:szCs w:val="20"/>
        </w:rPr>
      </w:pPr>
      <w:r>
        <w:rPr>
          <w:noProof/>
        </w:rPr>
        <w:drawing>
          <wp:inline distT="0" distB="0" distL="0" distR="0" wp14:anchorId="3DDF3D74" wp14:editId="3F8A191D">
            <wp:extent cx="3505150" cy="2302315"/>
            <wp:effectExtent l="0" t="0" r="635" b="3175"/>
            <wp:docPr id="115911411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114112" name=""/>
                    <pic:cNvPicPr/>
                  </pic:nvPicPr>
                  <pic:blipFill>
                    <a:blip r:embed="rId8"/>
                    <a:stretch>
                      <a:fillRect/>
                    </a:stretch>
                  </pic:blipFill>
                  <pic:spPr>
                    <a:xfrm>
                      <a:off x="0" y="0"/>
                      <a:ext cx="3521596" cy="2313117"/>
                    </a:xfrm>
                    <a:prstGeom prst="rect">
                      <a:avLst/>
                    </a:prstGeom>
                  </pic:spPr>
                </pic:pic>
              </a:graphicData>
            </a:graphic>
          </wp:inline>
        </w:drawing>
      </w:r>
    </w:p>
    <w:p w14:paraId="73E00080" w14:textId="495D2BD8" w:rsidR="0001456D" w:rsidRPr="001A7E87" w:rsidRDefault="00CF185B" w:rsidP="00D15F09">
      <w:pPr>
        <w:jc w:val="center"/>
        <w:rPr>
          <w:rFonts w:ascii="Poppins" w:hAnsi="Poppins" w:cs="Poppins"/>
          <w:bCs/>
          <w:i/>
          <w:iCs/>
          <w:sz w:val="12"/>
          <w:szCs w:val="12"/>
          <w:lang w:eastAsia="ja-JP"/>
        </w:rPr>
      </w:pPr>
      <w:hyperlink r:id="rId9" w:history="1">
        <w:r w:rsidR="0001456D" w:rsidRPr="00CF185B">
          <w:rPr>
            <w:rStyle w:val="Collegamentoipertestuale"/>
            <w:rFonts w:ascii="Poppins" w:hAnsi="Poppins" w:cs="Poppins"/>
            <w:bCs/>
            <w:i/>
            <w:iCs/>
            <w:sz w:val="12"/>
            <w:szCs w:val="12"/>
            <w:lang w:eastAsia="ja-JP"/>
          </w:rPr>
          <w:t>Scarica la galleria immagini qui</w:t>
        </w:r>
      </w:hyperlink>
      <w:r w:rsidR="0001456D" w:rsidRPr="001A7E87">
        <w:rPr>
          <w:rFonts w:ascii="Poppins" w:hAnsi="Poppins" w:cs="Poppins"/>
          <w:bCs/>
          <w:i/>
          <w:iCs/>
          <w:sz w:val="12"/>
          <w:szCs w:val="12"/>
          <w:lang w:eastAsia="ja-JP"/>
        </w:rPr>
        <w:t xml:space="preserve"> – © Aruba </w:t>
      </w:r>
      <w:proofErr w:type="spellStart"/>
      <w:r w:rsidR="0001456D" w:rsidRPr="001A7E87">
        <w:rPr>
          <w:rFonts w:ascii="Poppins" w:hAnsi="Poppins" w:cs="Poppins"/>
          <w:bCs/>
          <w:i/>
          <w:iCs/>
          <w:sz w:val="12"/>
          <w:szCs w:val="12"/>
          <w:lang w:eastAsia="ja-JP"/>
        </w:rPr>
        <w:t>Tourism</w:t>
      </w:r>
      <w:proofErr w:type="spellEnd"/>
      <w:r w:rsidR="0001456D" w:rsidRPr="001A7E87">
        <w:rPr>
          <w:rFonts w:ascii="Poppins" w:hAnsi="Poppins" w:cs="Poppins"/>
          <w:bCs/>
          <w:i/>
          <w:iCs/>
          <w:sz w:val="12"/>
          <w:szCs w:val="12"/>
          <w:lang w:eastAsia="ja-JP"/>
        </w:rPr>
        <w:t xml:space="preserve"> Authority </w:t>
      </w:r>
      <w:r w:rsidR="00D15F09" w:rsidRPr="001A7E87">
        <w:rPr>
          <w:rFonts w:ascii="Poppins" w:hAnsi="Poppins" w:cs="Poppins"/>
          <w:bCs/>
          <w:i/>
          <w:iCs/>
          <w:sz w:val="12"/>
          <w:szCs w:val="12"/>
          <w:lang w:eastAsia="ja-JP"/>
        </w:rPr>
        <w:t xml:space="preserve">o </w:t>
      </w:r>
      <w:r w:rsidR="0001456D" w:rsidRPr="001A7E87">
        <w:rPr>
          <w:rFonts w:ascii="Poppins" w:hAnsi="Poppins" w:cs="Poppins"/>
          <w:bCs/>
          <w:i/>
          <w:iCs/>
          <w:sz w:val="12"/>
          <w:szCs w:val="12"/>
          <w:lang w:eastAsia="ja-JP"/>
        </w:rPr>
        <w:t>Credits in descrizione del file</w:t>
      </w:r>
    </w:p>
    <w:p w14:paraId="66DAD310" w14:textId="77777777" w:rsidR="0001456D" w:rsidRPr="00436A64" w:rsidRDefault="0001456D">
      <w:pPr>
        <w:rPr>
          <w:rFonts w:ascii="Poppins" w:eastAsia="Poppins" w:hAnsi="Poppins" w:cs="Poppins"/>
          <w:sz w:val="6"/>
          <w:szCs w:val="6"/>
        </w:rPr>
      </w:pPr>
    </w:p>
    <w:p w14:paraId="4BB5D300" w14:textId="7CB73699" w:rsidR="00596A89" w:rsidRDefault="008B10C4" w:rsidP="00CA64E3">
      <w:pPr>
        <w:jc w:val="both"/>
        <w:rPr>
          <w:rFonts w:ascii="Poppins" w:eastAsia="Poppins" w:hAnsi="Poppins" w:cs="Poppins"/>
          <w:sz w:val="20"/>
          <w:szCs w:val="20"/>
        </w:rPr>
      </w:pPr>
      <w:r w:rsidRPr="00CC6F54">
        <w:rPr>
          <w:rFonts w:ascii="Poppins" w:eastAsia="Poppins" w:hAnsi="Poppins" w:cs="Poppins"/>
          <w:b/>
          <w:bCs/>
          <w:sz w:val="20"/>
          <w:szCs w:val="20"/>
        </w:rPr>
        <w:t xml:space="preserve">Aruba, </w:t>
      </w:r>
      <w:r w:rsidR="000A4ACB">
        <w:rPr>
          <w:rFonts w:ascii="Poppins" w:eastAsia="Poppins" w:hAnsi="Poppins" w:cs="Poppins"/>
          <w:b/>
          <w:bCs/>
          <w:sz w:val="20"/>
          <w:szCs w:val="20"/>
        </w:rPr>
        <w:t xml:space="preserve">Giugno </w:t>
      </w:r>
      <w:r w:rsidRPr="00CC6F54">
        <w:rPr>
          <w:rFonts w:ascii="Poppins" w:eastAsia="Poppins" w:hAnsi="Poppins" w:cs="Poppins"/>
          <w:b/>
          <w:bCs/>
          <w:sz w:val="20"/>
          <w:szCs w:val="20"/>
        </w:rPr>
        <w:t xml:space="preserve">2026 </w:t>
      </w:r>
      <w:r w:rsidR="00D24335" w:rsidRPr="00CC6F54">
        <w:rPr>
          <w:rFonts w:ascii="Poppins" w:eastAsia="Poppins" w:hAnsi="Poppins" w:cs="Poppins"/>
          <w:b/>
          <w:bCs/>
          <w:sz w:val="20"/>
          <w:szCs w:val="20"/>
        </w:rPr>
        <w:t>–</w:t>
      </w:r>
      <w:r w:rsidRPr="00CC6F54">
        <w:rPr>
          <w:rFonts w:ascii="Poppins" w:eastAsia="Poppins" w:hAnsi="Poppins" w:cs="Poppins"/>
          <w:sz w:val="20"/>
          <w:szCs w:val="20"/>
        </w:rPr>
        <w:t xml:space="preserve"> </w:t>
      </w:r>
      <w:r w:rsidR="000A4ACB" w:rsidRPr="000A4ACB">
        <w:rPr>
          <w:rFonts w:ascii="Poppins" w:eastAsia="Poppins" w:hAnsi="Poppins" w:cs="Poppins"/>
          <w:sz w:val="20"/>
          <w:szCs w:val="20"/>
        </w:rPr>
        <w:t xml:space="preserve">Il 5 giugno 2026, in una decisione storica adottata durante la 38ª sessione del Consiglio internazionale di coordinamento del Programma UNESCO "Man and the Biosphere" (MAB), tenutasi in Paraguay, </w:t>
      </w:r>
      <w:r w:rsidR="000A4ACB" w:rsidRPr="00CF185B">
        <w:rPr>
          <w:rFonts w:ascii="Poppins" w:eastAsia="Poppins" w:hAnsi="Poppins" w:cs="Poppins"/>
          <w:b/>
          <w:bCs/>
          <w:sz w:val="20"/>
          <w:szCs w:val="20"/>
        </w:rPr>
        <w:t>l'intera isola di Aruba è stata ufficialmente riconosciuta come Riserva della Biosfera UNESCO</w:t>
      </w:r>
      <w:r w:rsidR="000A4ACB" w:rsidRPr="000A4ACB">
        <w:rPr>
          <w:rFonts w:ascii="Poppins" w:eastAsia="Poppins" w:hAnsi="Poppins" w:cs="Poppins"/>
          <w:sz w:val="20"/>
          <w:szCs w:val="20"/>
        </w:rPr>
        <w:t>. Questo riconoscimento premia l'impegno di Aruba nell'integrare la conservazione della biodiversità, il patrimonio culturale e lo sviluppo sostenibile, inserendo l'isola nella prestigiosa Rete mondiale delle Riserve della Biosfera UNESCO. Aruba è una delle sole due nazioni insulari</w:t>
      </w:r>
      <w:r w:rsidR="000A4ACB">
        <w:rPr>
          <w:rFonts w:ascii="Poppins" w:eastAsia="Poppins" w:hAnsi="Poppins" w:cs="Poppins"/>
          <w:sz w:val="20"/>
          <w:szCs w:val="20"/>
        </w:rPr>
        <w:t>,</w:t>
      </w:r>
      <w:r w:rsidR="000A4ACB" w:rsidRPr="000A4ACB">
        <w:rPr>
          <w:rFonts w:ascii="Poppins" w:eastAsia="Poppins" w:hAnsi="Poppins" w:cs="Poppins"/>
          <w:sz w:val="20"/>
          <w:szCs w:val="20"/>
        </w:rPr>
        <w:t xml:space="preserve"> insieme a </w:t>
      </w:r>
      <w:proofErr w:type="spellStart"/>
      <w:r w:rsidR="000A4ACB" w:rsidRPr="000A4ACB">
        <w:rPr>
          <w:rFonts w:ascii="Poppins" w:eastAsia="Poppins" w:hAnsi="Poppins" w:cs="Poppins"/>
          <w:sz w:val="20"/>
          <w:szCs w:val="20"/>
        </w:rPr>
        <w:t>São</w:t>
      </w:r>
      <w:proofErr w:type="spellEnd"/>
      <w:r w:rsidR="000A4ACB" w:rsidRPr="000A4ACB">
        <w:rPr>
          <w:rFonts w:ascii="Poppins" w:eastAsia="Poppins" w:hAnsi="Poppins" w:cs="Poppins"/>
          <w:sz w:val="20"/>
          <w:szCs w:val="20"/>
        </w:rPr>
        <w:t xml:space="preserve"> </w:t>
      </w:r>
      <w:proofErr w:type="spellStart"/>
      <w:r w:rsidR="000A4ACB" w:rsidRPr="000A4ACB">
        <w:rPr>
          <w:rFonts w:ascii="Poppins" w:eastAsia="Poppins" w:hAnsi="Poppins" w:cs="Poppins"/>
          <w:sz w:val="20"/>
          <w:szCs w:val="20"/>
        </w:rPr>
        <w:t>Tomé</w:t>
      </w:r>
      <w:proofErr w:type="spellEnd"/>
      <w:r w:rsidR="000A4ACB" w:rsidRPr="000A4ACB">
        <w:rPr>
          <w:rFonts w:ascii="Poppins" w:eastAsia="Poppins" w:hAnsi="Poppins" w:cs="Poppins"/>
          <w:sz w:val="20"/>
          <w:szCs w:val="20"/>
        </w:rPr>
        <w:t xml:space="preserve"> e </w:t>
      </w:r>
      <w:proofErr w:type="spellStart"/>
      <w:r w:rsidR="000A4ACB" w:rsidRPr="000A4ACB">
        <w:rPr>
          <w:rFonts w:ascii="Poppins" w:eastAsia="Poppins" w:hAnsi="Poppins" w:cs="Poppins"/>
          <w:sz w:val="20"/>
          <w:szCs w:val="20"/>
        </w:rPr>
        <w:t>Príncipe</w:t>
      </w:r>
      <w:proofErr w:type="spellEnd"/>
      <w:r w:rsidR="000A4ACB">
        <w:rPr>
          <w:rFonts w:ascii="Poppins" w:eastAsia="Poppins" w:hAnsi="Poppins" w:cs="Poppins"/>
          <w:sz w:val="20"/>
          <w:szCs w:val="20"/>
        </w:rPr>
        <w:t>,</w:t>
      </w:r>
      <w:r w:rsidR="000A4ACB" w:rsidRPr="000A4ACB">
        <w:rPr>
          <w:rFonts w:ascii="Poppins" w:eastAsia="Poppins" w:hAnsi="Poppins" w:cs="Poppins"/>
          <w:sz w:val="20"/>
          <w:szCs w:val="20"/>
        </w:rPr>
        <w:t xml:space="preserve"> ad aver ottenuto </w:t>
      </w:r>
      <w:r w:rsidR="000A4ACB">
        <w:rPr>
          <w:rFonts w:ascii="Poppins" w:eastAsia="Poppins" w:hAnsi="Poppins" w:cs="Poppins"/>
          <w:sz w:val="20"/>
          <w:szCs w:val="20"/>
        </w:rPr>
        <w:t>questo riconoscimento</w:t>
      </w:r>
      <w:r w:rsidR="000A4ACB" w:rsidRPr="000A4ACB">
        <w:rPr>
          <w:rFonts w:ascii="Poppins" w:eastAsia="Poppins" w:hAnsi="Poppins" w:cs="Poppins"/>
          <w:sz w:val="20"/>
          <w:szCs w:val="20"/>
        </w:rPr>
        <w:t xml:space="preserve"> per l'intero territorio.</w:t>
      </w:r>
    </w:p>
    <w:p w14:paraId="65059401" w14:textId="77777777" w:rsidR="000A4ACB" w:rsidRPr="00436A64" w:rsidRDefault="000A4ACB" w:rsidP="00CA64E3">
      <w:pPr>
        <w:jc w:val="both"/>
        <w:rPr>
          <w:rFonts w:ascii="Poppins" w:eastAsia="Poppins" w:hAnsi="Poppins" w:cs="Poppins"/>
          <w:sz w:val="16"/>
          <w:szCs w:val="16"/>
        </w:rPr>
      </w:pPr>
    </w:p>
    <w:p w14:paraId="624C98B1" w14:textId="77777777" w:rsidR="000A4ACB" w:rsidRDefault="000A4ACB" w:rsidP="000A4ACB">
      <w:pPr>
        <w:jc w:val="both"/>
        <w:rPr>
          <w:rFonts w:ascii="Poppins" w:eastAsia="Poppins" w:hAnsi="Poppins" w:cs="Poppins"/>
          <w:b/>
          <w:bCs/>
          <w:sz w:val="20"/>
          <w:szCs w:val="20"/>
        </w:rPr>
      </w:pPr>
      <w:r w:rsidRPr="000A4ACB">
        <w:rPr>
          <w:rFonts w:ascii="Poppins" w:eastAsia="Poppins" w:hAnsi="Poppins" w:cs="Poppins"/>
          <w:b/>
          <w:bCs/>
          <w:sz w:val="20"/>
          <w:szCs w:val="20"/>
        </w:rPr>
        <w:t>Una candidatura nata dalla collaborazione</w:t>
      </w:r>
    </w:p>
    <w:p w14:paraId="516ECDD2" w14:textId="752BF587" w:rsidR="000A4ACB" w:rsidRPr="000A4ACB" w:rsidRDefault="000A4ACB" w:rsidP="000A4ACB">
      <w:pPr>
        <w:jc w:val="both"/>
        <w:rPr>
          <w:rFonts w:ascii="Poppins" w:eastAsia="Poppins" w:hAnsi="Poppins" w:cs="Poppins"/>
          <w:sz w:val="20"/>
          <w:szCs w:val="20"/>
        </w:rPr>
      </w:pPr>
      <w:r w:rsidRPr="000A4ACB">
        <w:rPr>
          <w:rFonts w:ascii="Poppins" w:eastAsia="Poppins" w:hAnsi="Poppins" w:cs="Poppins"/>
          <w:sz w:val="20"/>
          <w:szCs w:val="20"/>
        </w:rPr>
        <w:t xml:space="preserve">Alla base di questo importante risultato vi è un ampio lavoro di squadra che ha coinvolto enti governativi, istituzioni pubbliche e numerosi stakeholder dell'isola, tra cui </w:t>
      </w:r>
      <w:r w:rsidRPr="00CF185B">
        <w:rPr>
          <w:rFonts w:ascii="Poppins" w:eastAsia="Poppins" w:hAnsi="Poppins" w:cs="Poppins"/>
          <w:b/>
          <w:bCs/>
          <w:sz w:val="20"/>
          <w:szCs w:val="20"/>
        </w:rPr>
        <w:t xml:space="preserve">DIP, DNM, DLVV, DEZHI, il Ministero degli Affari Generali, l'Università di Aruba, la </w:t>
      </w:r>
      <w:proofErr w:type="spellStart"/>
      <w:r w:rsidRPr="00CF185B">
        <w:rPr>
          <w:rFonts w:ascii="Poppins" w:eastAsia="Poppins" w:hAnsi="Poppins" w:cs="Poppins"/>
          <w:b/>
          <w:bCs/>
          <w:sz w:val="20"/>
          <w:szCs w:val="20"/>
        </w:rPr>
        <w:t>Fundacion</w:t>
      </w:r>
      <w:proofErr w:type="spellEnd"/>
      <w:r w:rsidRPr="00CF185B">
        <w:rPr>
          <w:rFonts w:ascii="Poppins" w:eastAsia="Poppins" w:hAnsi="Poppins" w:cs="Poppins"/>
          <w:b/>
          <w:bCs/>
          <w:sz w:val="20"/>
          <w:szCs w:val="20"/>
        </w:rPr>
        <w:t xml:space="preserve"> Museo Aruba e Aruba </w:t>
      </w:r>
      <w:proofErr w:type="spellStart"/>
      <w:r w:rsidRPr="00CF185B">
        <w:rPr>
          <w:rFonts w:ascii="Poppins" w:eastAsia="Poppins" w:hAnsi="Poppins" w:cs="Poppins"/>
          <w:b/>
          <w:bCs/>
          <w:sz w:val="20"/>
          <w:szCs w:val="20"/>
        </w:rPr>
        <w:t>Tourism</w:t>
      </w:r>
      <w:proofErr w:type="spellEnd"/>
      <w:r w:rsidRPr="00CF185B">
        <w:rPr>
          <w:rFonts w:ascii="Poppins" w:eastAsia="Poppins" w:hAnsi="Poppins" w:cs="Poppins"/>
          <w:b/>
          <w:bCs/>
          <w:sz w:val="20"/>
          <w:szCs w:val="20"/>
        </w:rPr>
        <w:t xml:space="preserve"> Authority</w:t>
      </w:r>
      <w:r w:rsidRPr="000A4ACB">
        <w:rPr>
          <w:rFonts w:ascii="Poppins" w:eastAsia="Poppins" w:hAnsi="Poppins" w:cs="Poppins"/>
          <w:sz w:val="20"/>
          <w:szCs w:val="20"/>
        </w:rPr>
        <w:t>.</w:t>
      </w:r>
    </w:p>
    <w:p w14:paraId="47797E1A" w14:textId="16BF9BEB" w:rsidR="000D3253" w:rsidRDefault="000A4ACB" w:rsidP="006A12CE">
      <w:pPr>
        <w:jc w:val="both"/>
        <w:rPr>
          <w:rFonts w:ascii="Poppins" w:eastAsia="Poppins" w:hAnsi="Poppins" w:cs="Poppins"/>
          <w:sz w:val="20"/>
          <w:szCs w:val="20"/>
        </w:rPr>
      </w:pPr>
      <w:r w:rsidRPr="000A4ACB">
        <w:rPr>
          <w:rFonts w:ascii="Poppins" w:eastAsia="Poppins" w:hAnsi="Poppins" w:cs="Poppins"/>
          <w:sz w:val="20"/>
          <w:szCs w:val="20"/>
        </w:rPr>
        <w:t>La candidatura è stata costruita attorno a una visione integrata che va oltre la sola tutela ambientale, includendo la salvaguardia della storia e della cultura locale, il benessere della comunità e la costruzione di un futuro economicamente resiliente. Proprio questa strategia condivisa e di lungo periodo rappresenta uno degli elementi distintivi che hanno portato al riconoscimento UNESCO.</w:t>
      </w:r>
      <w:r>
        <w:rPr>
          <w:rFonts w:ascii="Poppins" w:eastAsia="Poppins" w:hAnsi="Poppins" w:cs="Poppins"/>
          <w:sz w:val="20"/>
          <w:szCs w:val="20"/>
        </w:rPr>
        <w:t xml:space="preserve"> </w:t>
      </w:r>
    </w:p>
    <w:p w14:paraId="1EF50F8E" w14:textId="77777777" w:rsidR="006A12CE" w:rsidRDefault="006A12CE" w:rsidP="006A12CE">
      <w:pPr>
        <w:jc w:val="both"/>
        <w:rPr>
          <w:rFonts w:ascii="Poppins" w:eastAsia="Poppins" w:hAnsi="Poppins" w:cs="Poppins"/>
          <w:b/>
          <w:bCs/>
          <w:sz w:val="16"/>
          <w:szCs w:val="16"/>
        </w:rPr>
      </w:pPr>
    </w:p>
    <w:p w14:paraId="238B6BD8" w14:textId="77777777" w:rsidR="000A4ACB" w:rsidRPr="001A200B" w:rsidRDefault="000A4ACB" w:rsidP="006A12CE">
      <w:pPr>
        <w:jc w:val="both"/>
        <w:rPr>
          <w:rFonts w:ascii="Poppins" w:eastAsia="Poppins" w:hAnsi="Poppins" w:cs="Poppins"/>
          <w:b/>
          <w:bCs/>
          <w:sz w:val="16"/>
          <w:szCs w:val="16"/>
        </w:rPr>
      </w:pPr>
    </w:p>
    <w:p w14:paraId="3205B10B" w14:textId="77777777" w:rsidR="000A4ACB" w:rsidRDefault="000A4ACB" w:rsidP="006A12CE">
      <w:pPr>
        <w:jc w:val="both"/>
        <w:rPr>
          <w:rFonts w:ascii="Poppins" w:eastAsia="Poppins" w:hAnsi="Poppins" w:cs="Poppins"/>
          <w:b/>
          <w:bCs/>
          <w:sz w:val="20"/>
          <w:szCs w:val="20"/>
        </w:rPr>
      </w:pPr>
      <w:r w:rsidRPr="000A4ACB">
        <w:rPr>
          <w:rFonts w:ascii="Poppins" w:eastAsia="Poppins" w:hAnsi="Poppins" w:cs="Poppins"/>
          <w:b/>
          <w:bCs/>
          <w:sz w:val="20"/>
          <w:szCs w:val="20"/>
        </w:rPr>
        <w:lastRenderedPageBreak/>
        <w:t>La Riserva della Biosfera di Aruba</w:t>
      </w:r>
    </w:p>
    <w:p w14:paraId="0E816662" w14:textId="70C9F3D8" w:rsidR="000A4ACB" w:rsidRDefault="000A4ACB" w:rsidP="000A4ACB">
      <w:pPr>
        <w:jc w:val="both"/>
        <w:rPr>
          <w:rFonts w:ascii="Poppins" w:eastAsia="Poppins" w:hAnsi="Poppins" w:cs="Poppins"/>
          <w:sz w:val="20"/>
          <w:szCs w:val="20"/>
        </w:rPr>
      </w:pPr>
      <w:r w:rsidRPr="000A4ACB">
        <w:rPr>
          <w:rFonts w:ascii="Poppins" w:eastAsia="Poppins" w:hAnsi="Poppins" w:cs="Poppins"/>
          <w:sz w:val="20"/>
          <w:szCs w:val="20"/>
        </w:rPr>
        <w:t>La nuova Riserva della Biosfera comprende l'intero territorio dell'isola, per una superficie di circa 19.300 ettari, estendendosi fino a una Zona Economica Esclusiva di quasi 3 milioni di ettari. Con una popolazione di circa 108.000 abitanti, Aruba segna così una tappa significativa non solo per il proprio percorso di sviluppo sostenibile, ma anche per l'intera regione caraibica.</w:t>
      </w:r>
      <w:r>
        <w:rPr>
          <w:rFonts w:ascii="Poppins" w:eastAsia="Poppins" w:hAnsi="Poppins" w:cs="Poppins"/>
          <w:sz w:val="20"/>
          <w:szCs w:val="20"/>
        </w:rPr>
        <w:t xml:space="preserve"> </w:t>
      </w:r>
      <w:r w:rsidRPr="000A4ACB">
        <w:rPr>
          <w:rFonts w:ascii="Poppins" w:eastAsia="Poppins" w:hAnsi="Poppins" w:cs="Poppins"/>
          <w:sz w:val="20"/>
          <w:szCs w:val="20"/>
        </w:rPr>
        <w:t xml:space="preserve">L'isola custodisce un </w:t>
      </w:r>
      <w:r w:rsidRPr="00CF185B">
        <w:rPr>
          <w:rFonts w:ascii="Poppins" w:eastAsia="Poppins" w:hAnsi="Poppins" w:cs="Poppins"/>
          <w:b/>
          <w:bCs/>
          <w:sz w:val="20"/>
          <w:szCs w:val="20"/>
        </w:rPr>
        <w:t>patrimonio naturale straordinariamente ricco e diversificato</w:t>
      </w:r>
      <w:r w:rsidRPr="000A4ACB">
        <w:rPr>
          <w:rFonts w:ascii="Poppins" w:eastAsia="Poppins" w:hAnsi="Poppins" w:cs="Poppins"/>
          <w:sz w:val="20"/>
          <w:szCs w:val="20"/>
        </w:rPr>
        <w:t>. I suoi paesaggi semiaridi ospitano cactus monumentali, vegetazione adattata agli ambienti desertici e oltre 30 specie endemiche. Tra queste figurano anche 10 delle 16 specie di sterne presenti nel mondo, che scelgono Aruba come sito di nidificazione.</w:t>
      </w:r>
      <w:r>
        <w:rPr>
          <w:rFonts w:ascii="Poppins" w:eastAsia="Poppins" w:hAnsi="Poppins" w:cs="Poppins"/>
          <w:sz w:val="20"/>
          <w:szCs w:val="20"/>
        </w:rPr>
        <w:t xml:space="preserve"> </w:t>
      </w:r>
    </w:p>
    <w:p w14:paraId="104DF8BE" w14:textId="116944CF" w:rsidR="000A4ACB" w:rsidRPr="000A4ACB" w:rsidRDefault="000A4ACB" w:rsidP="000A4ACB">
      <w:pPr>
        <w:jc w:val="both"/>
        <w:rPr>
          <w:rFonts w:ascii="Poppins" w:eastAsia="Poppins" w:hAnsi="Poppins" w:cs="Poppins"/>
          <w:sz w:val="20"/>
          <w:szCs w:val="20"/>
        </w:rPr>
      </w:pPr>
      <w:r w:rsidRPr="000A4ACB">
        <w:rPr>
          <w:rFonts w:ascii="Poppins" w:eastAsia="Poppins" w:hAnsi="Poppins" w:cs="Poppins"/>
          <w:sz w:val="20"/>
          <w:szCs w:val="20"/>
        </w:rPr>
        <w:t>Lungo la costa, mangrovie e praterie di fanerogame marine svolgono un ruolo essenziale come aree nursery per numerose specie acquatiche. Questi ecosistemi contribuiscono alla conservazione della biodiversità, sostengono le attività delle comunità locali, rafforzano la resilienza ai fenomeni meteorologici estremi e proteggono il patrimonio naturale e culturale dell'isola.</w:t>
      </w:r>
    </w:p>
    <w:p w14:paraId="305DD8D5" w14:textId="570B25DB" w:rsidR="000A4ACB" w:rsidRPr="000A4ACB" w:rsidRDefault="000A4ACB" w:rsidP="000A4ACB">
      <w:pPr>
        <w:jc w:val="both"/>
        <w:rPr>
          <w:rFonts w:ascii="Poppins" w:eastAsia="Poppins" w:hAnsi="Poppins" w:cs="Poppins"/>
          <w:sz w:val="20"/>
          <w:szCs w:val="20"/>
        </w:rPr>
      </w:pPr>
      <w:r w:rsidRPr="000A4ACB">
        <w:rPr>
          <w:rFonts w:ascii="Poppins" w:eastAsia="Poppins" w:hAnsi="Poppins" w:cs="Poppins"/>
          <w:sz w:val="20"/>
          <w:szCs w:val="20"/>
        </w:rPr>
        <w:t xml:space="preserve">A rendere possibile il riconoscimento dell'intera isola come Riserva della Biosfera ha contribuito anche la presenza di aree protette già tutelate </w:t>
      </w:r>
      <w:r w:rsidR="00CF185B">
        <w:rPr>
          <w:rFonts w:ascii="Poppins" w:eastAsia="Poppins" w:hAnsi="Poppins" w:cs="Poppins"/>
          <w:sz w:val="20"/>
          <w:szCs w:val="20"/>
        </w:rPr>
        <w:t xml:space="preserve">da </w:t>
      </w:r>
      <w:r w:rsidRPr="00CF185B">
        <w:rPr>
          <w:rFonts w:ascii="Poppins" w:eastAsia="Poppins" w:hAnsi="Poppins" w:cs="Poppins"/>
          <w:b/>
          <w:bCs/>
          <w:sz w:val="20"/>
          <w:szCs w:val="20"/>
        </w:rPr>
        <w:t xml:space="preserve">Aruba </w:t>
      </w:r>
      <w:proofErr w:type="spellStart"/>
      <w:r w:rsidRPr="00CF185B">
        <w:rPr>
          <w:rFonts w:ascii="Poppins" w:eastAsia="Poppins" w:hAnsi="Poppins" w:cs="Poppins"/>
          <w:b/>
          <w:bCs/>
          <w:sz w:val="20"/>
          <w:szCs w:val="20"/>
        </w:rPr>
        <w:t>Conservation</w:t>
      </w:r>
      <w:proofErr w:type="spellEnd"/>
      <w:r w:rsidRPr="00CF185B">
        <w:rPr>
          <w:rFonts w:ascii="Poppins" w:eastAsia="Poppins" w:hAnsi="Poppins" w:cs="Poppins"/>
          <w:b/>
          <w:bCs/>
          <w:sz w:val="20"/>
          <w:szCs w:val="20"/>
        </w:rPr>
        <w:t xml:space="preserve"> Foundation</w:t>
      </w:r>
      <w:r w:rsidR="00CF185B">
        <w:rPr>
          <w:rFonts w:ascii="Poppins" w:eastAsia="Poppins" w:hAnsi="Poppins" w:cs="Poppins"/>
          <w:sz w:val="20"/>
          <w:szCs w:val="20"/>
        </w:rPr>
        <w:t xml:space="preserve">, </w:t>
      </w:r>
      <w:r w:rsidRPr="000A4ACB">
        <w:rPr>
          <w:rFonts w:ascii="Poppins" w:eastAsia="Poppins" w:hAnsi="Poppins" w:cs="Poppins"/>
          <w:sz w:val="20"/>
          <w:szCs w:val="20"/>
        </w:rPr>
        <w:t>considerate idonee a svolgere il ruolo di "zone nucleo" secondo i criteri UNESCO.</w:t>
      </w:r>
      <w:r>
        <w:rPr>
          <w:rFonts w:ascii="Poppins" w:eastAsia="Poppins" w:hAnsi="Poppins" w:cs="Poppins"/>
          <w:sz w:val="20"/>
          <w:szCs w:val="20"/>
        </w:rPr>
        <w:t xml:space="preserve"> </w:t>
      </w:r>
      <w:r w:rsidRPr="000A4ACB">
        <w:rPr>
          <w:rFonts w:ascii="Poppins" w:eastAsia="Poppins" w:hAnsi="Poppins" w:cs="Poppins"/>
          <w:sz w:val="20"/>
          <w:szCs w:val="20"/>
        </w:rPr>
        <w:t>Fondamentale nel percorso di candidatura è stato anche il supporto tecnico dell'</w:t>
      </w:r>
      <w:r w:rsidRPr="00CF185B">
        <w:rPr>
          <w:rFonts w:ascii="Poppins" w:eastAsia="Poppins" w:hAnsi="Poppins" w:cs="Poppins"/>
          <w:b/>
          <w:bCs/>
          <w:sz w:val="20"/>
          <w:szCs w:val="20"/>
        </w:rPr>
        <w:t>Ufficio Regionale UNESCO per i Caraibi</w:t>
      </w:r>
      <w:r w:rsidRPr="000A4ACB">
        <w:rPr>
          <w:rFonts w:ascii="Poppins" w:eastAsia="Poppins" w:hAnsi="Poppins" w:cs="Poppins"/>
          <w:sz w:val="20"/>
          <w:szCs w:val="20"/>
        </w:rPr>
        <w:t>.</w:t>
      </w:r>
      <w:r w:rsidR="00CF185B">
        <w:rPr>
          <w:rFonts w:ascii="Poppins" w:eastAsia="Poppins" w:hAnsi="Poppins" w:cs="Poppins"/>
          <w:sz w:val="20"/>
          <w:szCs w:val="20"/>
        </w:rPr>
        <w:t xml:space="preserve"> </w:t>
      </w:r>
      <w:r w:rsidRPr="000A4ACB">
        <w:rPr>
          <w:rFonts w:ascii="Poppins" w:eastAsia="Poppins" w:hAnsi="Poppins" w:cs="Poppins"/>
          <w:sz w:val="20"/>
          <w:szCs w:val="20"/>
        </w:rPr>
        <w:t xml:space="preserve">«Il concetto di Riserva della Biosfera si adatta particolarmente bene alle realtà dei Caraibi e dei piccoli Stati insulari in via di sviluppo», ha dichiarato </w:t>
      </w:r>
      <w:r w:rsidRPr="00CF185B">
        <w:rPr>
          <w:rFonts w:ascii="Poppins" w:eastAsia="Poppins" w:hAnsi="Poppins" w:cs="Poppins"/>
          <w:b/>
          <w:bCs/>
          <w:sz w:val="20"/>
          <w:szCs w:val="20"/>
        </w:rPr>
        <w:t>Eric Falt, Direttore Regionale UNESCO per i Caraibi</w:t>
      </w:r>
      <w:r w:rsidRPr="000A4ACB">
        <w:rPr>
          <w:rFonts w:ascii="Poppins" w:eastAsia="Poppins" w:hAnsi="Poppins" w:cs="Poppins"/>
          <w:sz w:val="20"/>
          <w:szCs w:val="20"/>
        </w:rPr>
        <w:t>. «Questi territori dimostrano come conservazione della biodiversità, tutela del patrimonio culturale e sviluppo sostenibile possano procedere insieme. Auspichiamo che il riconoscimento ottenuto da Aruba possa ispirare altri Paesi della regione ad adottare questo modello e ad aderire alla Rete Mondiale delle Riserve della Biosfera».</w:t>
      </w:r>
    </w:p>
    <w:p w14:paraId="2888B1D8" w14:textId="1B543D38" w:rsidR="0039776B" w:rsidRDefault="0039776B" w:rsidP="004809A4">
      <w:pPr>
        <w:jc w:val="both"/>
        <w:rPr>
          <w:rFonts w:ascii="Poppins" w:eastAsia="Poppins" w:hAnsi="Poppins" w:cs="Poppins"/>
          <w:sz w:val="20"/>
          <w:szCs w:val="20"/>
        </w:rPr>
      </w:pPr>
    </w:p>
    <w:p w14:paraId="73410621" w14:textId="77777777" w:rsidR="00E50269" w:rsidRDefault="00E50269" w:rsidP="004809A4">
      <w:pPr>
        <w:jc w:val="both"/>
        <w:rPr>
          <w:rFonts w:ascii="Poppins" w:eastAsia="Poppins" w:hAnsi="Poppins" w:cs="Poppins"/>
          <w:sz w:val="20"/>
          <w:szCs w:val="20"/>
        </w:rPr>
      </w:pPr>
    </w:p>
    <w:p w14:paraId="2AE0FA94" w14:textId="4460A891" w:rsidR="00597911" w:rsidRPr="00CC6F54" w:rsidRDefault="00597911" w:rsidP="00597911">
      <w:pPr>
        <w:jc w:val="right"/>
        <w:rPr>
          <w:rFonts w:ascii="Poppins" w:eastAsia="Poppins" w:hAnsi="Poppins" w:cs="Poppins"/>
          <w:sz w:val="20"/>
          <w:szCs w:val="20"/>
        </w:rPr>
      </w:pPr>
      <w:r w:rsidRPr="00CC6F54">
        <w:rPr>
          <w:rFonts w:ascii="Poppins" w:eastAsia="Poppins" w:hAnsi="Poppins" w:cs="Poppins"/>
          <w:sz w:val="20"/>
          <w:szCs w:val="20"/>
        </w:rPr>
        <w:t xml:space="preserve">Maggiori </w:t>
      </w:r>
      <w:r w:rsidR="00D24335" w:rsidRPr="00CC6F54">
        <w:rPr>
          <w:rFonts w:ascii="Poppins" w:eastAsia="Poppins" w:hAnsi="Poppins" w:cs="Poppins"/>
          <w:sz w:val="20"/>
          <w:szCs w:val="20"/>
        </w:rPr>
        <w:t xml:space="preserve">Informazioni </w:t>
      </w:r>
      <w:r w:rsidR="004D5018" w:rsidRPr="00CC6F54">
        <w:rPr>
          <w:rFonts w:ascii="Poppins" w:eastAsia="Poppins" w:hAnsi="Poppins" w:cs="Poppins"/>
          <w:sz w:val="20"/>
          <w:szCs w:val="20"/>
        </w:rPr>
        <w:t>su</w:t>
      </w:r>
      <w:r w:rsidRPr="00CC6F54">
        <w:rPr>
          <w:rFonts w:ascii="Poppins" w:eastAsia="Poppins" w:hAnsi="Poppins" w:cs="Poppins"/>
          <w:sz w:val="20"/>
          <w:szCs w:val="20"/>
        </w:rPr>
        <w:t xml:space="preserve"> Aruba:</w:t>
      </w:r>
    </w:p>
    <w:p w14:paraId="03AB68D2" w14:textId="27C7785E" w:rsidR="004D5018" w:rsidRPr="00CC6F54" w:rsidRDefault="004D5018" w:rsidP="00597911">
      <w:pPr>
        <w:jc w:val="right"/>
        <w:rPr>
          <w:rFonts w:ascii="Poppins" w:eastAsia="Poppins" w:hAnsi="Poppins" w:cs="Poppins"/>
          <w:b/>
          <w:bCs/>
          <w:sz w:val="20"/>
          <w:szCs w:val="20"/>
        </w:rPr>
      </w:pPr>
      <w:hyperlink r:id="rId10" w:history="1">
        <w:r w:rsidRPr="00CC6F54">
          <w:rPr>
            <w:rStyle w:val="Collegamentoipertestuale"/>
            <w:rFonts w:ascii="Poppins" w:eastAsia="Poppins" w:hAnsi="Poppins" w:cs="Poppins"/>
            <w:b/>
            <w:bCs/>
            <w:sz w:val="20"/>
            <w:szCs w:val="20"/>
          </w:rPr>
          <w:t>www.aruba.com</w:t>
        </w:r>
      </w:hyperlink>
    </w:p>
    <w:p w14:paraId="2C03B80C" w14:textId="77777777" w:rsidR="00597911" w:rsidRPr="00CC6F54" w:rsidRDefault="00597911" w:rsidP="00597911">
      <w:pPr>
        <w:jc w:val="right"/>
        <w:rPr>
          <w:rFonts w:ascii="Poppins" w:eastAsia="Poppins" w:hAnsi="Poppins" w:cs="Poppins"/>
          <w:i/>
          <w:iCs/>
          <w:sz w:val="20"/>
          <w:szCs w:val="20"/>
        </w:rPr>
      </w:pPr>
      <w:r w:rsidRPr="00CC6F54">
        <w:rPr>
          <w:rFonts w:ascii="Poppins" w:eastAsia="Poppins" w:hAnsi="Poppins" w:cs="Poppins"/>
          <w:i/>
          <w:iCs/>
          <w:sz w:val="20"/>
          <w:szCs w:val="20"/>
        </w:rPr>
        <w:t>Global Tourist - Ufficio del Turismo di ARUBA in Italia</w:t>
      </w:r>
    </w:p>
    <w:p w14:paraId="0000001E" w14:textId="59FDFF34" w:rsidR="008F33D9" w:rsidRPr="008B2950" w:rsidRDefault="00597911" w:rsidP="008B2950">
      <w:pPr>
        <w:jc w:val="right"/>
        <w:rPr>
          <w:rFonts w:ascii="Poppins" w:eastAsia="Poppins" w:hAnsi="Poppins" w:cs="Poppins"/>
          <w:i/>
          <w:iCs/>
          <w:sz w:val="20"/>
          <w:szCs w:val="20"/>
          <w:lang w:val="en-US"/>
        </w:rPr>
      </w:pPr>
      <w:r w:rsidRPr="00CC6F54">
        <w:rPr>
          <w:rFonts w:ascii="Poppins" w:eastAsia="Poppins" w:hAnsi="Poppins" w:cs="Poppins"/>
          <w:i/>
          <w:iCs/>
          <w:sz w:val="20"/>
          <w:szCs w:val="20"/>
        </w:rPr>
        <w:t xml:space="preserve">Tel: 011 – 4546557 - Email: </w:t>
      </w:r>
      <w:hyperlink r:id="rId11" w:history="1">
        <w:r w:rsidR="004D5018" w:rsidRPr="00CC6F54">
          <w:rPr>
            <w:rStyle w:val="Collegamentoipertestuale"/>
            <w:rFonts w:ascii="Poppins" w:eastAsia="Poppins" w:hAnsi="Poppins" w:cs="Poppins"/>
            <w:i/>
            <w:iCs/>
            <w:sz w:val="20"/>
            <w:szCs w:val="20"/>
          </w:rPr>
          <w:t>aruba@globaltourist.it</w:t>
        </w:r>
      </w:hyperlink>
    </w:p>
    <w:sectPr w:rsidR="008F33D9" w:rsidRPr="008B2950">
      <w:headerReference w:type="default" r:id="rId12"/>
      <w:footerReference w:type="defaul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2FA214" w14:textId="77777777" w:rsidR="00B25A7B" w:rsidRPr="00CC6F54" w:rsidRDefault="00B25A7B">
      <w:pPr>
        <w:spacing w:line="240" w:lineRule="auto"/>
      </w:pPr>
      <w:r w:rsidRPr="00CC6F54">
        <w:separator/>
      </w:r>
    </w:p>
  </w:endnote>
  <w:endnote w:type="continuationSeparator" w:id="0">
    <w:p w14:paraId="3676F91E" w14:textId="77777777" w:rsidR="00B25A7B" w:rsidRPr="00CC6F54" w:rsidRDefault="00B25A7B">
      <w:pPr>
        <w:spacing w:line="240" w:lineRule="auto"/>
      </w:pPr>
      <w:r w:rsidRPr="00CC6F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embedRegular r:id="rId1" w:fontKey="{BFA062E8-3213-4CAA-A795-52BD156FF59B}"/>
    <w:embedBold r:id="rId2" w:fontKey="{B2FEB630-2906-4DBE-98F2-A1EB0F6D0878}"/>
    <w:embedItalic r:id="rId3" w:fontKey="{F8FE1985-39C3-42EE-A7AD-3FE28CD1907D}"/>
    <w:embedBoldItalic r:id="rId4" w:fontKey="{1734DB2F-2373-4245-BF87-E731ED909C93}"/>
  </w:font>
  <w:font w:name="Montserrat">
    <w:panose1 w:val="00000500000000000000"/>
    <w:charset w:val="00"/>
    <w:family w:val="auto"/>
    <w:pitch w:val="variable"/>
    <w:sig w:usb0="2000020F" w:usb1="00000003" w:usb2="00000000" w:usb3="00000000" w:csb0="00000197" w:csb1="00000000"/>
    <w:embedRegular r:id="rId5" w:fontKey="{825F1658-9E57-4BC1-8902-3E34C4CD1EEE}"/>
    <w:embedBold r:id="rId6" w:fontKey="{A37B6321-90C6-410C-8BD6-46EA7D98A42E}"/>
    <w:embedItalic r:id="rId7" w:fontKey="{B82FCABA-3897-45CD-94E9-0AAE9EE747CB}"/>
  </w:font>
  <w:font w:name="Cambria">
    <w:panose1 w:val="02040503050406030204"/>
    <w:charset w:val="00"/>
    <w:family w:val="roman"/>
    <w:pitch w:val="variable"/>
    <w:sig w:usb0="E00006FF" w:usb1="420024FF" w:usb2="02000000" w:usb3="00000000" w:csb0="0000019F" w:csb1="00000000"/>
    <w:embedRegular r:id="rId8" w:fontKey="{797CBCD5-51A5-4A88-B160-E2EF0712A296}"/>
    <w:embedBold r:id="rId9" w:fontKey="{CDDAE43A-2FB4-4134-9091-B103755E5041}"/>
    <w:embedItalic r:id="rId10" w:fontKey="{FBA0FAC7-F142-46D0-8EC4-F59FA10DFDC0}"/>
  </w:font>
  <w:font w:name="Calibri">
    <w:panose1 w:val="020F0502020204030204"/>
    <w:charset w:val="00"/>
    <w:family w:val="swiss"/>
    <w:pitch w:val="variable"/>
    <w:sig w:usb0="E4002EFF" w:usb1="C000247B" w:usb2="00000009" w:usb3="00000000" w:csb0="000001FF" w:csb1="00000000"/>
    <w:embedRegular r:id="rId11" w:fontKey="{17D8EB12-338D-4B25-AD17-AE3192A1043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4BCDA" w14:textId="77777777" w:rsidR="00597911" w:rsidRPr="00CC6F54" w:rsidRDefault="00597911" w:rsidP="00597911">
    <w:pPr>
      <w:pStyle w:val="Pidipagina"/>
      <w:tabs>
        <w:tab w:val="clear" w:pos="9638"/>
        <w:tab w:val="right" w:pos="9498"/>
      </w:tabs>
      <w:ind w:right="139"/>
      <w:rPr>
        <w:rFonts w:ascii="Montserrat" w:hAnsi="Montserrat" w:cstheme="minorHAnsi"/>
        <w:sz w:val="16"/>
        <w:szCs w:val="16"/>
      </w:rPr>
    </w:pPr>
    <w:r w:rsidRPr="00CC6F54">
      <w:rPr>
        <w:rFonts w:ascii="Montserrat" w:hAnsi="Montserrat" w:cstheme="minorHAnsi"/>
        <w:b/>
        <w:bCs/>
        <w:sz w:val="16"/>
        <w:szCs w:val="16"/>
      </w:rPr>
      <w:t>Global Tourist</w:t>
    </w:r>
  </w:p>
  <w:p w14:paraId="44DDF5D3" w14:textId="77777777" w:rsidR="00597911" w:rsidRPr="00CC6F54" w:rsidRDefault="00597911" w:rsidP="00597911">
    <w:pPr>
      <w:pStyle w:val="Pidipagina"/>
      <w:tabs>
        <w:tab w:val="clear" w:pos="9638"/>
        <w:tab w:val="right" w:pos="9498"/>
      </w:tabs>
      <w:ind w:right="139"/>
      <w:rPr>
        <w:rFonts w:ascii="Montserrat" w:hAnsi="Montserrat" w:cstheme="minorHAnsi"/>
        <w:i/>
        <w:iCs/>
        <w:sz w:val="16"/>
        <w:szCs w:val="16"/>
      </w:rPr>
    </w:pPr>
    <w:r w:rsidRPr="00CC6F54">
      <w:rPr>
        <w:rFonts w:ascii="Montserrat" w:hAnsi="Montserrat" w:cstheme="minorHAnsi"/>
        <w:i/>
        <w:iCs/>
        <w:sz w:val="16"/>
        <w:szCs w:val="16"/>
      </w:rPr>
      <w:t>Agenzia di Pubbliche Relazioni in Italia</w:t>
    </w:r>
  </w:p>
  <w:p w14:paraId="122C7872" w14:textId="67124D50" w:rsidR="00597911" w:rsidRPr="00CC6F54" w:rsidRDefault="00597911" w:rsidP="00597911">
    <w:pPr>
      <w:pStyle w:val="Pidipagina"/>
      <w:tabs>
        <w:tab w:val="clear" w:pos="9638"/>
        <w:tab w:val="right" w:pos="9498"/>
      </w:tabs>
      <w:ind w:right="139"/>
      <w:rPr>
        <w:rFonts w:ascii="Montserrat" w:hAnsi="Montserrat" w:cstheme="minorHAnsi"/>
        <w:sz w:val="16"/>
        <w:szCs w:val="16"/>
      </w:rPr>
    </w:pPr>
    <w:r w:rsidRPr="00CC6F54">
      <w:rPr>
        <w:rFonts w:ascii="Montserrat" w:hAnsi="Montserrat" w:cstheme="minorHAnsi"/>
        <w:sz w:val="16"/>
        <w:szCs w:val="16"/>
      </w:rPr>
      <w:t xml:space="preserve">Via </w:t>
    </w:r>
    <w:r w:rsidR="00B82840" w:rsidRPr="00CC6F54">
      <w:rPr>
        <w:rFonts w:ascii="Montserrat" w:hAnsi="Montserrat" w:cstheme="minorHAnsi"/>
        <w:sz w:val="16"/>
        <w:szCs w:val="16"/>
      </w:rPr>
      <w:t>Luigi Cibrario 11</w:t>
    </w:r>
    <w:r w:rsidRPr="00CC6F54">
      <w:rPr>
        <w:rFonts w:ascii="Montserrat" w:hAnsi="Montserrat" w:cstheme="minorHAnsi"/>
        <w:sz w:val="16"/>
        <w:szCs w:val="16"/>
      </w:rPr>
      <w:t xml:space="preserve"> - Torino (TO) - Italia</w:t>
    </w:r>
  </w:p>
  <w:p w14:paraId="4F156A41" w14:textId="77777777" w:rsidR="00597911" w:rsidRPr="00CC6F54" w:rsidRDefault="00597911" w:rsidP="00597911">
    <w:pPr>
      <w:pStyle w:val="Pidipagina"/>
      <w:tabs>
        <w:tab w:val="clear" w:pos="9638"/>
        <w:tab w:val="right" w:pos="9498"/>
      </w:tabs>
      <w:ind w:right="139"/>
      <w:rPr>
        <w:rFonts w:ascii="Montserrat" w:hAnsi="Montserrat" w:cstheme="minorHAnsi"/>
        <w:sz w:val="16"/>
        <w:szCs w:val="16"/>
      </w:rPr>
    </w:pPr>
    <w:r w:rsidRPr="00CC6F54">
      <w:rPr>
        <w:rFonts w:ascii="Montserrat" w:hAnsi="Montserrat" w:cstheme="minorHAnsi"/>
        <w:sz w:val="16"/>
        <w:szCs w:val="16"/>
      </w:rPr>
      <w:t xml:space="preserve">T: +39 011 4546557 | E: </w:t>
    </w:r>
    <w:hyperlink r:id="rId1" w:history="1">
      <w:r w:rsidRPr="00CC6F54">
        <w:rPr>
          <w:rStyle w:val="Collegamentoipertestuale"/>
          <w:rFonts w:ascii="Montserrat" w:hAnsi="Montserrat" w:cstheme="minorHAnsi"/>
          <w:sz w:val="16"/>
          <w:szCs w:val="16"/>
        </w:rPr>
        <w:t>aruba@globaltourist.it</w:t>
      </w:r>
    </w:hyperlink>
  </w:p>
  <w:p w14:paraId="039A2C57" w14:textId="77777777" w:rsidR="00597911" w:rsidRPr="00CC6F54" w:rsidRDefault="00597911" w:rsidP="00597911">
    <w:pPr>
      <w:pStyle w:val="Pidipagina"/>
      <w:tabs>
        <w:tab w:val="clear" w:pos="9638"/>
        <w:tab w:val="right" w:pos="9498"/>
      </w:tabs>
      <w:ind w:right="139"/>
      <w:rPr>
        <w:rFonts w:ascii="Montserrat" w:hAnsi="Montserrat" w:cstheme="minorHAnsi"/>
        <w:sz w:val="16"/>
        <w:szCs w:val="16"/>
      </w:rPr>
    </w:pPr>
    <w:r w:rsidRPr="00CC6F54">
      <w:rPr>
        <w:rFonts w:ascii="Montserrat" w:hAnsi="Montserrat" w:cstheme="minorHAnsi"/>
        <w:sz w:val="16"/>
        <w:szCs w:val="16"/>
      </w:rPr>
      <w:t>www.globaltourist.it | FB &amp; IG: @GlobalTourist.it</w:t>
    </w:r>
  </w:p>
  <w:p w14:paraId="147C0FDF" w14:textId="77777777" w:rsidR="00597911" w:rsidRPr="00CC6F54" w:rsidRDefault="00597911">
    <w:pPr>
      <w:pStyle w:val="Pidipagina"/>
      <w:rPr>
        <w:rFonts w:ascii="Montserrat" w:hAnsi="Montserrat"/>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B547E" w14:textId="77777777" w:rsidR="00B25A7B" w:rsidRPr="00CC6F54" w:rsidRDefault="00B25A7B">
      <w:pPr>
        <w:spacing w:line="240" w:lineRule="auto"/>
      </w:pPr>
      <w:r w:rsidRPr="00CC6F54">
        <w:separator/>
      </w:r>
    </w:p>
  </w:footnote>
  <w:footnote w:type="continuationSeparator" w:id="0">
    <w:p w14:paraId="60E1B530" w14:textId="77777777" w:rsidR="00B25A7B" w:rsidRPr="00CC6F54" w:rsidRDefault="00B25A7B">
      <w:pPr>
        <w:spacing w:line="240" w:lineRule="auto"/>
      </w:pPr>
      <w:r w:rsidRPr="00CC6F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F" w14:textId="545D9D75" w:rsidR="008F33D9" w:rsidRPr="00CC6F54" w:rsidRDefault="00597911">
    <w:pPr>
      <w:rPr>
        <w:i/>
        <w:iCs/>
        <w:sz w:val="18"/>
        <w:szCs w:val="18"/>
      </w:rPr>
    </w:pPr>
    <w:r w:rsidRPr="00CC6F54">
      <w:rPr>
        <w:noProof/>
        <w:lang w:eastAsia="it-IT"/>
      </w:rPr>
      <w:drawing>
        <wp:anchor distT="0" distB="0" distL="114300" distR="114300" simplePos="0" relativeHeight="251661312" behindDoc="1" locked="0" layoutInCell="1" allowOverlap="1" wp14:anchorId="266E6F77" wp14:editId="571A25ED">
          <wp:simplePos x="0" y="0"/>
          <wp:positionH relativeFrom="column">
            <wp:posOffset>4772025</wp:posOffset>
          </wp:positionH>
          <wp:positionV relativeFrom="paragraph">
            <wp:posOffset>-265430</wp:posOffset>
          </wp:positionV>
          <wp:extent cx="1083945" cy="720090"/>
          <wp:effectExtent l="0" t="0" r="1905" b="3810"/>
          <wp:wrapTight wrapText="bothSides">
            <wp:wrapPolygon edited="0">
              <wp:start x="7213" y="0"/>
              <wp:lineTo x="1518" y="0"/>
              <wp:lineTo x="0" y="1714"/>
              <wp:lineTo x="0" y="14286"/>
              <wp:lineTo x="10250" y="18286"/>
              <wp:lineTo x="9490" y="20000"/>
              <wp:lineTo x="9490" y="21143"/>
              <wp:lineTo x="18221" y="21143"/>
              <wp:lineTo x="18601" y="18857"/>
              <wp:lineTo x="21258" y="17714"/>
              <wp:lineTo x="21258" y="14286"/>
              <wp:lineTo x="17462" y="9143"/>
              <wp:lineTo x="17842" y="6286"/>
              <wp:lineTo x="15944" y="2857"/>
              <wp:lineTo x="12148" y="0"/>
              <wp:lineTo x="7213" y="0"/>
            </wp:wrapPolygon>
          </wp:wrapTight>
          <wp:docPr id="1571332508" name="Immagine 1571332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a:picLocks noChangeAspect="1" noChangeArrowheads="1"/>
                  </pic:cNvPicPr>
                </pic:nvPicPr>
                <pic:blipFill>
                  <a:blip r:embed="rId1">
                    <a:extLst>
                      <a:ext uri="{28A0092B-C50C-407E-A947-70E740481C1C}">
                        <a14:useLocalDpi xmlns:a14="http://schemas.microsoft.com/office/drawing/2010/main" val="0"/>
                      </a:ext>
                    </a:extLst>
                  </a:blip>
                  <a:srcRect t="202" b="202"/>
                  <a:stretch>
                    <a:fillRect/>
                  </a:stretch>
                </pic:blipFill>
                <pic:spPr bwMode="auto">
                  <a:xfrm>
                    <a:off x="0" y="0"/>
                    <a:ext cx="1083945" cy="720090"/>
                  </a:xfrm>
                  <a:prstGeom prst="rect">
                    <a:avLst/>
                  </a:prstGeom>
                  <a:noFill/>
                </pic:spPr>
              </pic:pic>
            </a:graphicData>
          </a:graphic>
          <wp14:sizeRelH relativeFrom="page">
            <wp14:pctWidth>0</wp14:pctWidth>
          </wp14:sizeRelH>
          <wp14:sizeRelV relativeFrom="page">
            <wp14:pctHeight>0</wp14:pctHeight>
          </wp14:sizeRelV>
        </wp:anchor>
      </w:drawing>
    </w:r>
    <w:r w:rsidRPr="00CC6F54">
      <w:rPr>
        <w:noProof/>
        <w:lang w:eastAsia="it-IT"/>
      </w:rPr>
      <w:drawing>
        <wp:anchor distT="0" distB="0" distL="114300" distR="114300" simplePos="0" relativeHeight="251659264" behindDoc="1" locked="0" layoutInCell="1" allowOverlap="1" wp14:anchorId="62A31C5E" wp14:editId="268423C8">
          <wp:simplePos x="0" y="0"/>
          <wp:positionH relativeFrom="column">
            <wp:posOffset>0</wp:posOffset>
          </wp:positionH>
          <wp:positionV relativeFrom="paragraph">
            <wp:posOffset>152400</wp:posOffset>
          </wp:positionV>
          <wp:extent cx="1695450" cy="302260"/>
          <wp:effectExtent l="0" t="0" r="0" b="2540"/>
          <wp:wrapTight wrapText="bothSides">
            <wp:wrapPolygon edited="0">
              <wp:start x="1456" y="0"/>
              <wp:lineTo x="728" y="6807"/>
              <wp:lineTo x="728" y="16336"/>
              <wp:lineTo x="1456" y="20420"/>
              <wp:lineTo x="12620" y="20420"/>
              <wp:lineTo x="21357" y="17697"/>
              <wp:lineTo x="21357" y="2723"/>
              <wp:lineTo x="18688" y="0"/>
              <wp:lineTo x="1456" y="0"/>
            </wp:wrapPolygon>
          </wp:wrapTight>
          <wp:docPr id="1947420401" name="Immagine 1947420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695450" cy="3022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F24FD9"/>
    <w:multiLevelType w:val="multilevel"/>
    <w:tmpl w:val="FA040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A3F7A56"/>
    <w:multiLevelType w:val="multilevel"/>
    <w:tmpl w:val="6F9083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107917220">
    <w:abstractNumId w:val="1"/>
  </w:num>
  <w:num w:numId="2" w16cid:durableId="1958216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33D9"/>
    <w:rsid w:val="0001456D"/>
    <w:rsid w:val="000241E6"/>
    <w:rsid w:val="000A4ACB"/>
    <w:rsid w:val="000D3253"/>
    <w:rsid w:val="0014016D"/>
    <w:rsid w:val="00166C64"/>
    <w:rsid w:val="00175A13"/>
    <w:rsid w:val="00196651"/>
    <w:rsid w:val="001A200B"/>
    <w:rsid w:val="001A61E0"/>
    <w:rsid w:val="001A7E87"/>
    <w:rsid w:val="001B0542"/>
    <w:rsid w:val="001B5F14"/>
    <w:rsid w:val="001D12B7"/>
    <w:rsid w:val="001E526A"/>
    <w:rsid w:val="00201E2C"/>
    <w:rsid w:val="00240562"/>
    <w:rsid w:val="0027114A"/>
    <w:rsid w:val="0029080A"/>
    <w:rsid w:val="002A17EE"/>
    <w:rsid w:val="002B5087"/>
    <w:rsid w:val="002B7315"/>
    <w:rsid w:val="002C4EF6"/>
    <w:rsid w:val="00303AF1"/>
    <w:rsid w:val="0031789A"/>
    <w:rsid w:val="00361906"/>
    <w:rsid w:val="0039776B"/>
    <w:rsid w:val="003C556D"/>
    <w:rsid w:val="00436A64"/>
    <w:rsid w:val="004750D1"/>
    <w:rsid w:val="004809A4"/>
    <w:rsid w:val="004A62B3"/>
    <w:rsid w:val="004D5018"/>
    <w:rsid w:val="004F2253"/>
    <w:rsid w:val="004F7833"/>
    <w:rsid w:val="005475C1"/>
    <w:rsid w:val="00572AB0"/>
    <w:rsid w:val="00596A89"/>
    <w:rsid w:val="00597911"/>
    <w:rsid w:val="005A7AC2"/>
    <w:rsid w:val="005C2A16"/>
    <w:rsid w:val="005C6511"/>
    <w:rsid w:val="005D71F9"/>
    <w:rsid w:val="00672BEA"/>
    <w:rsid w:val="006A12CE"/>
    <w:rsid w:val="006D6767"/>
    <w:rsid w:val="006E45DF"/>
    <w:rsid w:val="006E6878"/>
    <w:rsid w:val="00736A63"/>
    <w:rsid w:val="007A37A5"/>
    <w:rsid w:val="00805458"/>
    <w:rsid w:val="00816A90"/>
    <w:rsid w:val="0085355D"/>
    <w:rsid w:val="00870442"/>
    <w:rsid w:val="00885994"/>
    <w:rsid w:val="008B10C4"/>
    <w:rsid w:val="008B2950"/>
    <w:rsid w:val="008C084F"/>
    <w:rsid w:val="008F33D9"/>
    <w:rsid w:val="008F63D1"/>
    <w:rsid w:val="009A2CAE"/>
    <w:rsid w:val="009A79E3"/>
    <w:rsid w:val="009A7E49"/>
    <w:rsid w:val="009B3538"/>
    <w:rsid w:val="009C6F76"/>
    <w:rsid w:val="009D3270"/>
    <w:rsid w:val="009D4B38"/>
    <w:rsid w:val="00A00916"/>
    <w:rsid w:val="00A023D1"/>
    <w:rsid w:val="00A34D15"/>
    <w:rsid w:val="00A4268F"/>
    <w:rsid w:val="00A90FEF"/>
    <w:rsid w:val="00AD7D9E"/>
    <w:rsid w:val="00B0045F"/>
    <w:rsid w:val="00B1068A"/>
    <w:rsid w:val="00B24091"/>
    <w:rsid w:val="00B25A7B"/>
    <w:rsid w:val="00B45FAF"/>
    <w:rsid w:val="00B53807"/>
    <w:rsid w:val="00B56C06"/>
    <w:rsid w:val="00B731B1"/>
    <w:rsid w:val="00B82218"/>
    <w:rsid w:val="00B82840"/>
    <w:rsid w:val="00BC26EB"/>
    <w:rsid w:val="00C050A0"/>
    <w:rsid w:val="00C165D6"/>
    <w:rsid w:val="00C2431A"/>
    <w:rsid w:val="00C46C8A"/>
    <w:rsid w:val="00C632FA"/>
    <w:rsid w:val="00C66EDF"/>
    <w:rsid w:val="00C70474"/>
    <w:rsid w:val="00CA64E3"/>
    <w:rsid w:val="00CB14D6"/>
    <w:rsid w:val="00CC6F54"/>
    <w:rsid w:val="00CD2345"/>
    <w:rsid w:val="00CF185B"/>
    <w:rsid w:val="00D15F09"/>
    <w:rsid w:val="00D24335"/>
    <w:rsid w:val="00D44783"/>
    <w:rsid w:val="00D90D9F"/>
    <w:rsid w:val="00DB0185"/>
    <w:rsid w:val="00DB22DE"/>
    <w:rsid w:val="00DB7C25"/>
    <w:rsid w:val="00DC142B"/>
    <w:rsid w:val="00DD4112"/>
    <w:rsid w:val="00DF7ACB"/>
    <w:rsid w:val="00E12339"/>
    <w:rsid w:val="00E50269"/>
    <w:rsid w:val="00EF67CD"/>
    <w:rsid w:val="00F47594"/>
    <w:rsid w:val="00FE0927"/>
    <w:rsid w:val="00FE45C2"/>
    <w:rsid w:val="00FF00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7AB8B0"/>
  <w15:docId w15:val="{972FC4D9-2A29-40F2-BBB8-22BA9656A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24335"/>
    <w:rPr>
      <w:lang w:val="it-IT"/>
    </w:rPr>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after="60"/>
    </w:pPr>
    <w:rPr>
      <w:sz w:val="52"/>
      <w:szCs w:val="52"/>
    </w:rPr>
  </w:style>
  <w:style w:type="paragraph" w:styleId="Sottotitolo">
    <w:name w:val="Subtitle"/>
    <w:basedOn w:val="Normale"/>
    <w:next w:val="Normale"/>
    <w:uiPriority w:val="11"/>
    <w:qFormat/>
    <w:pPr>
      <w:keepNext/>
      <w:keepLines/>
      <w:spacing w:after="320"/>
    </w:pPr>
    <w:rPr>
      <w:color w:val="666666"/>
      <w:sz w:val="30"/>
      <w:szCs w:val="30"/>
    </w:rPr>
  </w:style>
  <w:style w:type="paragraph" w:styleId="Intestazione">
    <w:name w:val="header"/>
    <w:basedOn w:val="Normale"/>
    <w:link w:val="IntestazioneCarattere"/>
    <w:uiPriority w:val="99"/>
    <w:unhideWhenUsed/>
    <w:rsid w:val="00597911"/>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597911"/>
  </w:style>
  <w:style w:type="paragraph" w:styleId="Pidipagina">
    <w:name w:val="footer"/>
    <w:basedOn w:val="Normale"/>
    <w:link w:val="PidipaginaCarattere"/>
    <w:unhideWhenUsed/>
    <w:rsid w:val="00597911"/>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597911"/>
  </w:style>
  <w:style w:type="character" w:styleId="Collegamentoipertestuale">
    <w:name w:val="Hyperlink"/>
    <w:uiPriority w:val="99"/>
    <w:rsid w:val="00597911"/>
    <w:rPr>
      <w:color w:val="0000FF"/>
      <w:u w:val="single"/>
    </w:rPr>
  </w:style>
  <w:style w:type="character" w:styleId="Menzionenonrisolta">
    <w:name w:val="Unresolved Mention"/>
    <w:basedOn w:val="Carpredefinitoparagrafo"/>
    <w:uiPriority w:val="99"/>
    <w:semiHidden/>
    <w:unhideWhenUsed/>
    <w:rsid w:val="0001456D"/>
    <w:rPr>
      <w:color w:val="605E5C"/>
      <w:shd w:val="clear" w:color="auto" w:fill="E1DFDD"/>
    </w:rPr>
  </w:style>
  <w:style w:type="character" w:styleId="Collegamentovisitato">
    <w:name w:val="FollowedHyperlink"/>
    <w:basedOn w:val="Carpredefinitoparagrafo"/>
    <w:uiPriority w:val="99"/>
    <w:semiHidden/>
    <w:unhideWhenUsed/>
    <w:rsid w:val="0001456D"/>
    <w:rPr>
      <w:color w:val="800080" w:themeColor="followedHyperlink"/>
      <w:u w:val="single"/>
    </w:rPr>
  </w:style>
  <w:style w:type="paragraph" w:styleId="NormaleWeb">
    <w:name w:val="Normal (Web)"/>
    <w:basedOn w:val="Normale"/>
    <w:uiPriority w:val="99"/>
    <w:semiHidden/>
    <w:unhideWhenUsed/>
    <w:rsid w:val="002A17E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ruba@globaltourist.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aruba.com" TargetMode="External"/><Relationship Id="rId4" Type="http://schemas.openxmlformats.org/officeDocument/2006/relationships/settings" Target="settings.xml"/><Relationship Id="rId9" Type="http://schemas.openxmlformats.org/officeDocument/2006/relationships/hyperlink" Target="https://brand.aruba.com/web/d02c3a85a6af5c96/2025---tae-b2b-imagery/"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hyperlink" Target="mailto:aruba@globaltourist.i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4BbwCaU6+szNHHNChuuDRpP6EWg==">CgMxLjA4AHIhMTN4c0xMNmNSOU9TZ1pVRVlPczNLTkFfaDlzQ3NVd0Fo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805</TotalTime>
  <Pages>2</Pages>
  <Words>595</Words>
  <Characters>3397</Characters>
  <Application>Microsoft Office Word</Application>
  <DocSecurity>0</DocSecurity>
  <Lines>28</Lines>
  <Paragraphs>7</Paragraphs>
  <ScaleCrop>false</ScaleCrop>
  <HeadingPairs>
    <vt:vector size="2" baseType="variant">
      <vt:variant>
        <vt:lpstr>Titolo</vt:lpstr>
      </vt:variant>
      <vt:variant>
        <vt:i4>1</vt:i4>
      </vt:variant>
    </vt:vector>
  </HeadingPairs>
  <TitlesOfParts>
    <vt:vector size="1" baseType="lpstr">
      <vt:lpstr/>
    </vt:vector>
  </TitlesOfParts>
  <Company>Tripadvisor</Company>
  <LinksUpToDate>false</LinksUpToDate>
  <CharactersWithSpaces>3985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 Johnson</dc:creator>
  <cp:lastModifiedBy>Serena Novero</cp:lastModifiedBy>
  <cp:revision>26</cp:revision>
  <dcterms:created xsi:type="dcterms:W3CDTF">2026-01-20T13:24:00Z</dcterms:created>
  <dcterms:modified xsi:type="dcterms:W3CDTF">2026-06-22T11:12:00Z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06586b7c-de88-49b2-b1ea-2e713051e35f</vt:lpwstr>
  </property>
</Properties>
</file>