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17275B">
        <w:trPr>
          <w:trHeight w:hRule="exact" w:val="595"/>
        </w:trPr>
        <w:tc>
          <w:tcPr>
            <w:tcW w:w="7370" w:type="dxa"/>
          </w:tcPr>
          <w:p w14:paraId="1C998B3D" w14:textId="20EBE736" w:rsidR="0033108C" w:rsidRPr="00D764A7" w:rsidRDefault="0033108C" w:rsidP="001D028C">
            <w:pPr>
              <w:pStyle w:val="Titolo2"/>
            </w:pPr>
          </w:p>
        </w:tc>
      </w:tr>
      <w:tr w:rsidR="00D62638" w:rsidRPr="00871B32" w14:paraId="0358193D" w14:textId="77777777" w:rsidTr="0017275B">
        <w:trPr>
          <w:trHeight w:hRule="exact" w:val="1758"/>
        </w:trPr>
        <w:tc>
          <w:tcPr>
            <w:tcW w:w="7370" w:type="dxa"/>
          </w:tcPr>
          <w:p w14:paraId="682C3773" w14:textId="776B3909" w:rsidR="00D62638" w:rsidRPr="00E51A3F" w:rsidRDefault="00274B82" w:rsidP="000A262F">
            <w:pPr>
              <w:pStyle w:val="Titolo1"/>
            </w:pPr>
            <w:r>
              <w:t xml:space="preserve">Schaeffler </w:t>
            </w:r>
            <w:r w:rsidR="00566E82">
              <w:t>inizia bene</w:t>
            </w:r>
            <w:r>
              <w:t xml:space="preserve"> </w:t>
            </w:r>
            <w:r w:rsidR="00A62BF4">
              <w:t xml:space="preserve">il </w:t>
            </w:r>
            <w:r>
              <w:t>2026</w:t>
            </w:r>
          </w:p>
        </w:tc>
      </w:tr>
      <w:tr w:rsidR="00AB5AB6" w:rsidRPr="00871B32" w14:paraId="01799C92" w14:textId="77777777" w:rsidTr="0017275B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E51A3F" w:rsidRDefault="00AB5AB6" w:rsidP="00AF76CE">
            <w:pPr>
              <w:jc w:val="center"/>
            </w:pPr>
          </w:p>
        </w:tc>
      </w:tr>
    </w:tbl>
    <w:p w14:paraId="72E1F338" w14:textId="12E52C15" w:rsidR="00566E82" w:rsidRPr="00566E82" w:rsidRDefault="00566E82" w:rsidP="00F453D9">
      <w:pPr>
        <w:pStyle w:val="Paragrafoelenco"/>
        <w:rPr>
          <w:spacing w:val="-2"/>
          <w:lang w:val="it-IT"/>
        </w:rPr>
      </w:pPr>
      <w:bookmarkStart w:id="0" w:name="_Hlk14262545"/>
      <w:r>
        <w:rPr>
          <w:lang w:val="it-IT"/>
        </w:rPr>
        <w:t>Fatturato</w:t>
      </w:r>
      <w:r w:rsidRPr="00566E82">
        <w:rPr>
          <w:lang w:val="it-IT"/>
        </w:rPr>
        <w:t xml:space="preserve"> pari a 5,8 miliardi di euro, leggermente superior</w:t>
      </w:r>
      <w:r>
        <w:rPr>
          <w:lang w:val="it-IT"/>
        </w:rPr>
        <w:t>e</w:t>
      </w:r>
      <w:r w:rsidRPr="00566E82">
        <w:rPr>
          <w:lang w:val="it-IT"/>
        </w:rPr>
        <w:t xml:space="preserve"> all’anno precedente, in crescita dell’1,0</w:t>
      </w:r>
      <w:r w:rsidR="00FD1703">
        <w:rPr>
          <w:lang w:val="it-IT"/>
        </w:rPr>
        <w:t xml:space="preserve"> percento</w:t>
      </w:r>
      <w:r w:rsidRPr="00566E82">
        <w:rPr>
          <w:lang w:val="it-IT"/>
        </w:rPr>
        <w:t xml:space="preserve"> al netto degli effetti di cambio</w:t>
      </w:r>
      <w:r w:rsidR="00FD1703">
        <w:rPr>
          <w:lang w:val="it-IT"/>
        </w:rPr>
        <w:t xml:space="preserve"> e</w:t>
      </w:r>
      <w:r w:rsidRPr="00566E82">
        <w:rPr>
          <w:lang w:val="it-IT"/>
        </w:rPr>
        <w:t xml:space="preserve"> nonostante un contesto di mercato sfidante</w:t>
      </w:r>
    </w:p>
    <w:p w14:paraId="56709510" w14:textId="1626AACE" w:rsidR="00C17ACA" w:rsidRPr="00FD1703" w:rsidRDefault="00FD1703" w:rsidP="00FD1703">
      <w:pPr>
        <w:pStyle w:val="Paragrafoelenco"/>
        <w:rPr>
          <w:lang w:val="it-IT" w:eastAsia="it-IT"/>
        </w:rPr>
      </w:pPr>
      <w:r w:rsidRPr="00FD1703">
        <w:rPr>
          <w:lang w:val="it-IT" w:eastAsia="it-IT"/>
        </w:rPr>
        <w:t>Margine EBIT prima delle operazioni straordinarie al 5,0</w:t>
      </w:r>
      <w:r>
        <w:rPr>
          <w:lang w:val="it-IT" w:eastAsia="it-IT"/>
        </w:rPr>
        <w:t xml:space="preserve"> percento</w:t>
      </w:r>
      <w:r w:rsidRPr="00FD1703">
        <w:rPr>
          <w:lang w:val="it-IT" w:eastAsia="it-IT"/>
        </w:rPr>
        <w:t>, in aumento rispetto all’anno precedente (4,7</w:t>
      </w:r>
      <w:r>
        <w:rPr>
          <w:lang w:val="it-IT" w:eastAsia="it-IT"/>
        </w:rPr>
        <w:t xml:space="preserve"> percento</w:t>
      </w:r>
      <w:r w:rsidR="00CE1F3D" w:rsidRPr="00FD1703">
        <w:rPr>
          <w:lang w:val="it-IT"/>
        </w:rPr>
        <w:t>)</w:t>
      </w:r>
    </w:p>
    <w:p w14:paraId="14C6EE7E" w14:textId="35F0D93A" w:rsidR="00FD1703" w:rsidRPr="00FD1703" w:rsidRDefault="00FD1703" w:rsidP="00FD1703">
      <w:pPr>
        <w:pStyle w:val="Paragrafoelenco"/>
        <w:rPr>
          <w:lang w:val="it-IT" w:eastAsia="it-IT"/>
        </w:rPr>
      </w:pPr>
      <w:r>
        <w:rPr>
          <w:lang w:val="it-IT" w:eastAsia="it-IT"/>
        </w:rPr>
        <w:t xml:space="preserve">La Divisione </w:t>
      </w:r>
      <w:r w:rsidRPr="00FD1703">
        <w:rPr>
          <w:lang w:val="it-IT" w:eastAsia="it-IT"/>
        </w:rPr>
        <w:t>E</w:t>
      </w:r>
      <w:r w:rsidRPr="00FD1703">
        <w:rPr>
          <w:lang w:val="it-IT" w:eastAsia="it-IT"/>
        </w:rPr>
        <w:noBreakHyphen/>
        <w:t>Mobility migliora la redditività; Powertrain &amp; Chassis e Vehicle Lifetime Solutions con margini EBIT a doppia cifra; Bearings &amp; Industrial Solutions con crescita dei ricavi nella</w:t>
      </w:r>
      <w:r>
        <w:rPr>
          <w:lang w:val="it-IT" w:eastAsia="it-IT"/>
        </w:rPr>
        <w:t xml:space="preserve"> Regione</w:t>
      </w:r>
      <w:r w:rsidRPr="00FD1703">
        <w:rPr>
          <w:lang w:val="it-IT" w:eastAsia="it-IT"/>
        </w:rPr>
        <w:t xml:space="preserve"> Greater China superiore alla media</w:t>
      </w:r>
    </w:p>
    <w:p w14:paraId="2FE730C9" w14:textId="2376A7BA" w:rsidR="00FD1703" w:rsidRPr="00FD1703" w:rsidRDefault="00FD1703" w:rsidP="00FD1703">
      <w:pPr>
        <w:pStyle w:val="Paragrafoelenco"/>
        <w:rPr>
          <w:lang w:val="it-IT" w:eastAsia="it-IT"/>
        </w:rPr>
      </w:pPr>
      <w:r w:rsidRPr="00FD1703">
        <w:rPr>
          <w:lang w:val="it-IT" w:eastAsia="it-IT"/>
        </w:rPr>
        <w:t xml:space="preserve">Free cash flow prima dei flussi di cassa per attività M&amp;A (fusioni e acquisizioni) pari a </w:t>
      </w:r>
      <w:r>
        <w:rPr>
          <w:lang w:val="it-IT" w:eastAsia="it-IT"/>
        </w:rPr>
        <w:t>-</w:t>
      </w:r>
      <w:r w:rsidRPr="00FD1703">
        <w:rPr>
          <w:lang w:val="it-IT" w:eastAsia="it-IT"/>
        </w:rPr>
        <w:t>209 milioni di euro, in linea con i fattori stagionali</w:t>
      </w:r>
    </w:p>
    <w:bookmarkEnd w:id="0"/>
    <w:p w14:paraId="3D254C6F" w14:textId="77777777" w:rsidR="00FD1703" w:rsidRPr="00FD1703" w:rsidRDefault="00FD1703" w:rsidP="00FD1703">
      <w:pPr>
        <w:pStyle w:val="Paragrafoelenco"/>
        <w:rPr>
          <w:lang w:val="it-IT" w:eastAsia="it-IT"/>
        </w:rPr>
      </w:pPr>
      <w:r w:rsidRPr="00FD1703">
        <w:rPr>
          <w:lang w:val="it-IT" w:eastAsia="it-IT"/>
        </w:rPr>
        <w:t>Outlook per l’intero esercizio 2026 confermato</w:t>
      </w:r>
    </w:p>
    <w:p w14:paraId="78ED5831" w14:textId="74795FE0" w:rsidR="00744FE0" w:rsidRPr="00FD1703" w:rsidRDefault="00274B82" w:rsidP="00F453D9">
      <w:pPr>
        <w:rPr>
          <w:lang w:val="it-IT"/>
        </w:rPr>
      </w:pPr>
      <w:r w:rsidRPr="00FD1703">
        <w:rPr>
          <w:lang w:val="it-IT"/>
        </w:rPr>
        <w:t xml:space="preserve">Herzogenaurach | </w:t>
      </w:r>
      <w:r w:rsidR="00FD1703" w:rsidRPr="00FD1703">
        <w:rPr>
          <w:lang w:val="it-IT"/>
        </w:rPr>
        <w:t>5 maggio</w:t>
      </w:r>
      <w:r w:rsidRPr="00FD1703">
        <w:rPr>
          <w:lang w:val="it-IT"/>
        </w:rPr>
        <w:t xml:space="preserve"> 2026 | </w:t>
      </w:r>
      <w:r w:rsidR="00FD1703" w:rsidRPr="00FD1703">
        <w:rPr>
          <w:lang w:val="it-IT"/>
        </w:rPr>
        <w:t xml:space="preserve">Schaeffler AG ha pubblicato </w:t>
      </w:r>
      <w:r w:rsidR="00A62BF4">
        <w:rPr>
          <w:lang w:val="it-IT"/>
        </w:rPr>
        <w:t>i</w:t>
      </w:r>
      <w:r w:rsidR="00FD1703" w:rsidRPr="00FD1703">
        <w:rPr>
          <w:lang w:val="it-IT"/>
        </w:rPr>
        <w:t xml:space="preserve"> risultati del primo trimestre 2026. I</w:t>
      </w:r>
      <w:r w:rsidR="00FD1703">
        <w:rPr>
          <w:lang w:val="it-IT"/>
        </w:rPr>
        <w:t xml:space="preserve">l fatturato </w:t>
      </w:r>
      <w:r w:rsidR="00FD1703" w:rsidRPr="00FD1703">
        <w:rPr>
          <w:lang w:val="it-IT"/>
        </w:rPr>
        <w:t xml:space="preserve">dei primi tre mesi dell’anno si </w:t>
      </w:r>
      <w:r w:rsidR="00FD1703">
        <w:rPr>
          <w:lang w:val="it-IT"/>
        </w:rPr>
        <w:t>è</w:t>
      </w:r>
      <w:r w:rsidR="00FD1703" w:rsidRPr="00FD1703">
        <w:rPr>
          <w:lang w:val="it-IT"/>
        </w:rPr>
        <w:t xml:space="preserve"> attestat</w:t>
      </w:r>
      <w:r w:rsidR="00FD1703">
        <w:rPr>
          <w:lang w:val="it-IT"/>
        </w:rPr>
        <w:t>o</w:t>
      </w:r>
      <w:r w:rsidR="00FD1703" w:rsidRPr="00FD1703">
        <w:rPr>
          <w:lang w:val="it-IT"/>
        </w:rPr>
        <w:t xml:space="preserve"> a 5.764 milioni di euro, leggermente superior</w:t>
      </w:r>
      <w:r w:rsidR="00FD1703">
        <w:rPr>
          <w:lang w:val="it-IT"/>
        </w:rPr>
        <w:t>e</w:t>
      </w:r>
      <w:r w:rsidR="00FD1703" w:rsidRPr="00FD1703">
        <w:rPr>
          <w:lang w:val="it-IT"/>
        </w:rPr>
        <w:t xml:space="preserve"> al dato dell’anno precedente, con un incremento dell’1,0</w:t>
      </w:r>
      <w:r w:rsidR="00FD1703">
        <w:rPr>
          <w:lang w:val="it-IT"/>
        </w:rPr>
        <w:t xml:space="preserve"> percento</w:t>
      </w:r>
      <w:r w:rsidR="00FD1703" w:rsidRPr="00FD1703">
        <w:rPr>
          <w:lang w:val="it-IT"/>
        </w:rPr>
        <w:t xml:space="preserve"> al netto degli effetti di cambio (anno precedente: 5.924 milioni di euro). La diversificazione delle attività di business ha consentito al Gruppo Schaeffler di compensare andamenti di mercato eterogenei</w:t>
      </w:r>
      <w:r w:rsidRPr="00FD1703">
        <w:rPr>
          <w:lang w:val="it-IT"/>
        </w:rPr>
        <w:t>.</w:t>
      </w:r>
    </w:p>
    <w:p w14:paraId="2AB12933" w14:textId="40CE3E14" w:rsidR="00744FE0" w:rsidRPr="00FD1703" w:rsidRDefault="00FD1703" w:rsidP="00F453D9">
      <w:pPr>
        <w:rPr>
          <w:lang w:val="it-IT"/>
        </w:rPr>
      </w:pPr>
      <w:r w:rsidRPr="00FD1703">
        <w:rPr>
          <w:lang w:val="it-IT"/>
        </w:rPr>
        <w:t xml:space="preserve">A livello di Gruppo, le </w:t>
      </w:r>
      <w:r>
        <w:rPr>
          <w:lang w:val="it-IT"/>
        </w:rPr>
        <w:t>R</w:t>
      </w:r>
      <w:r w:rsidRPr="00FD1703">
        <w:rPr>
          <w:lang w:val="it-IT"/>
        </w:rPr>
        <w:t>egioni Europ</w:t>
      </w:r>
      <w:r>
        <w:rPr>
          <w:lang w:val="it-IT"/>
        </w:rPr>
        <w:t>e</w:t>
      </w:r>
      <w:r w:rsidRPr="00FD1703">
        <w:rPr>
          <w:lang w:val="it-IT"/>
        </w:rPr>
        <w:t xml:space="preserve"> (+0,4</w:t>
      </w:r>
      <w:r>
        <w:rPr>
          <w:lang w:val="it-IT"/>
        </w:rPr>
        <w:t xml:space="preserve"> percento</w:t>
      </w:r>
      <w:r w:rsidRPr="00FD1703">
        <w:rPr>
          <w:lang w:val="it-IT"/>
        </w:rPr>
        <w:t>) e Asia/Pacific (+8,0</w:t>
      </w:r>
      <w:r>
        <w:rPr>
          <w:lang w:val="it-IT"/>
        </w:rPr>
        <w:t xml:space="preserve"> percento</w:t>
      </w:r>
      <w:r w:rsidRPr="00FD1703">
        <w:rPr>
          <w:lang w:val="it-IT"/>
        </w:rPr>
        <w:t xml:space="preserve">) hanno registrato una crescita </w:t>
      </w:r>
      <w:r w:rsidR="00C80A79">
        <w:rPr>
          <w:lang w:val="it-IT"/>
        </w:rPr>
        <w:t>del fatturato</w:t>
      </w:r>
      <w:r w:rsidRPr="00FD1703">
        <w:rPr>
          <w:lang w:val="it-IT"/>
        </w:rPr>
        <w:t xml:space="preserve"> al netto degli effetti di cambio, mentre i</w:t>
      </w:r>
      <w:r w:rsidR="00C80A79">
        <w:rPr>
          <w:lang w:val="it-IT"/>
        </w:rPr>
        <w:t>l fatturato</w:t>
      </w:r>
      <w:r w:rsidRPr="00FD1703">
        <w:rPr>
          <w:lang w:val="it-IT"/>
        </w:rPr>
        <w:t xml:space="preserve"> al netto degli effetti di cambio </w:t>
      </w:r>
      <w:r w:rsidR="00C80A79">
        <w:rPr>
          <w:lang w:val="it-IT"/>
        </w:rPr>
        <w:t>è</w:t>
      </w:r>
      <w:r w:rsidRPr="00FD1703">
        <w:rPr>
          <w:lang w:val="it-IT"/>
        </w:rPr>
        <w:t xml:space="preserve"> diminuit</w:t>
      </w:r>
      <w:r w:rsidR="00C80A79">
        <w:rPr>
          <w:lang w:val="it-IT"/>
        </w:rPr>
        <w:t>o</w:t>
      </w:r>
      <w:r w:rsidRPr="00FD1703">
        <w:rPr>
          <w:lang w:val="it-IT"/>
        </w:rPr>
        <w:t xml:space="preserve"> nelle </w:t>
      </w:r>
      <w:r w:rsidR="00C80A79">
        <w:rPr>
          <w:lang w:val="it-IT"/>
        </w:rPr>
        <w:t>R</w:t>
      </w:r>
      <w:r w:rsidRPr="00FD1703">
        <w:rPr>
          <w:lang w:val="it-IT"/>
        </w:rPr>
        <w:t>egioni Americ</w:t>
      </w:r>
      <w:r w:rsidR="00C80A79">
        <w:rPr>
          <w:lang w:val="it-IT"/>
        </w:rPr>
        <w:t>as</w:t>
      </w:r>
      <w:r w:rsidRPr="00FD1703">
        <w:rPr>
          <w:lang w:val="it-IT"/>
        </w:rPr>
        <w:t xml:space="preserve"> (</w:t>
      </w:r>
      <w:r w:rsidR="00C80A79">
        <w:rPr>
          <w:lang w:val="it-IT"/>
        </w:rPr>
        <w:t>-</w:t>
      </w:r>
      <w:r w:rsidRPr="00FD1703">
        <w:rPr>
          <w:lang w:val="it-IT"/>
        </w:rPr>
        <w:t>1,0</w:t>
      </w:r>
      <w:r w:rsidR="00C80A79">
        <w:rPr>
          <w:lang w:val="it-IT"/>
        </w:rPr>
        <w:t xml:space="preserve"> percento</w:t>
      </w:r>
      <w:r w:rsidRPr="00FD1703">
        <w:rPr>
          <w:lang w:val="it-IT"/>
        </w:rPr>
        <w:t>) e Greater China (</w:t>
      </w:r>
      <w:r w:rsidR="00C80A79">
        <w:rPr>
          <w:lang w:val="it-IT"/>
        </w:rPr>
        <w:t>-</w:t>
      </w:r>
      <w:r w:rsidRPr="00FD1703">
        <w:rPr>
          <w:lang w:val="it-IT"/>
        </w:rPr>
        <w:t>0,5</w:t>
      </w:r>
      <w:r w:rsidR="00C80A79">
        <w:rPr>
          <w:lang w:val="it-IT"/>
        </w:rPr>
        <w:t xml:space="preserve"> percento</w:t>
      </w:r>
      <w:r w:rsidRPr="00FD1703">
        <w:rPr>
          <w:lang w:val="it-IT"/>
        </w:rPr>
        <w:t>) rispetto al trimestre dell’anno precedente</w:t>
      </w:r>
      <w:r w:rsidR="00744FE0" w:rsidRPr="00FD1703">
        <w:rPr>
          <w:lang w:val="it-IT"/>
        </w:rPr>
        <w:t xml:space="preserve">. </w:t>
      </w:r>
    </w:p>
    <w:p w14:paraId="6408A90A" w14:textId="488384A4" w:rsidR="00C80A79" w:rsidRDefault="00C80A79" w:rsidP="00FA1992">
      <w:pPr>
        <w:rPr>
          <w:lang w:val="it-IT"/>
        </w:rPr>
      </w:pPr>
      <w:r w:rsidRPr="00C80A79">
        <w:rPr>
          <w:lang w:val="it-IT"/>
        </w:rPr>
        <w:t>Nel primo trimestre, il Gruppo Schaeffler ha generato un EBIT prima delle operazioni straordinarie pari a 285 milioni di euro (anno precedente: 276 milioni di euro). Ciò corrisponde a un Margine EBIT prima delle operazioni straordinarie del 5,0</w:t>
      </w:r>
      <w:r>
        <w:rPr>
          <w:lang w:val="it-IT"/>
        </w:rPr>
        <w:t xml:space="preserve"> percento</w:t>
      </w:r>
      <w:r w:rsidRPr="00C80A79">
        <w:rPr>
          <w:lang w:val="it-IT"/>
        </w:rPr>
        <w:t xml:space="preserve"> (anno precedente: 4,7</w:t>
      </w:r>
      <w:r>
        <w:rPr>
          <w:lang w:val="it-IT"/>
        </w:rPr>
        <w:t xml:space="preserve"> percento</w:t>
      </w:r>
      <w:r w:rsidRPr="00C80A79">
        <w:rPr>
          <w:lang w:val="it-IT"/>
        </w:rPr>
        <w:t xml:space="preserve">). </w:t>
      </w:r>
    </w:p>
    <w:p w14:paraId="38FF4101" w14:textId="2F55F7FC" w:rsidR="00B206C4" w:rsidRPr="00C80A79" w:rsidRDefault="005B156A" w:rsidP="00C80A79">
      <w:pPr>
        <w:rPr>
          <w:lang w:val="it-IT"/>
        </w:rPr>
      </w:pPr>
      <w:r w:rsidRPr="00C80A79">
        <w:rPr>
          <w:lang w:val="it-IT"/>
        </w:rPr>
        <w:t>“</w:t>
      </w:r>
      <w:r w:rsidR="00C80A79" w:rsidRPr="00C80A79">
        <w:rPr>
          <w:lang w:val="it-IT"/>
        </w:rPr>
        <w:t xml:space="preserve">Il Gruppo Schaeffler ha iniziato positivamente il 2026, nonostante un contesto politico ed economico che rimane complesso. Facendo leva su una struttura organizzativa diversificata, articolata in quattro divisioni orientate ai prodotti, e su </w:t>
      </w:r>
      <w:r w:rsidR="00C80A79" w:rsidRPr="00C80A79">
        <w:rPr>
          <w:lang w:val="it-IT"/>
        </w:rPr>
        <w:lastRenderedPageBreak/>
        <w:t>una presenza globale in quattro regioni, il Gruppo prosegue nell’attuazione della propria strategia volta a diventare la leading Motion Technology Company, accedendo al contempo a nuove aree di crescita quali la robotica umanoide e la difesa.</w:t>
      </w:r>
      <w:r w:rsidR="00C80A79">
        <w:rPr>
          <w:lang w:val="it-IT"/>
        </w:rPr>
        <w:t xml:space="preserve"> </w:t>
      </w:r>
      <w:r w:rsidR="00C80A79" w:rsidRPr="00C80A79">
        <w:rPr>
          <w:lang w:val="it-IT"/>
        </w:rPr>
        <w:t>In qualità di gruppo tecnologico integrato, Schaeffler rafforza così la propria resilienza, facendo allo stesso tempo affidamento sulla propria flessibilità. L’outlook per l’intero esercizio 2026 viene confermato</w:t>
      </w:r>
      <w:r w:rsidRPr="00C80A79">
        <w:rPr>
          <w:lang w:val="it-IT"/>
        </w:rPr>
        <w:t xml:space="preserve">,” </w:t>
      </w:r>
      <w:r w:rsidR="00C80A79" w:rsidRPr="00C80A79">
        <w:rPr>
          <w:lang w:val="it-IT"/>
        </w:rPr>
        <w:t>ha dichiarato</w:t>
      </w:r>
      <w:r w:rsidRPr="00C80A79">
        <w:rPr>
          <w:lang w:val="it-IT"/>
        </w:rPr>
        <w:t xml:space="preserve"> Klaus Rosenfeld, CEO </w:t>
      </w:r>
      <w:r w:rsidR="00C80A79" w:rsidRPr="00C80A79">
        <w:rPr>
          <w:lang w:val="it-IT"/>
        </w:rPr>
        <w:t>di</w:t>
      </w:r>
      <w:r w:rsidRPr="00C80A79">
        <w:rPr>
          <w:lang w:val="it-IT"/>
        </w:rPr>
        <w:t xml:space="preserve"> Schaeffler AG.   </w:t>
      </w:r>
    </w:p>
    <w:tbl>
      <w:tblPr>
        <w:tblW w:w="6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2"/>
        <w:gridCol w:w="1417"/>
        <w:gridCol w:w="172"/>
        <w:gridCol w:w="1417"/>
        <w:gridCol w:w="172"/>
        <w:gridCol w:w="1417"/>
      </w:tblGrid>
      <w:tr w:rsidR="00B206C4" w:rsidRPr="0022289E" w14:paraId="25D4AB8C" w14:textId="77777777" w:rsidTr="318B392E">
        <w:trPr>
          <w:trHeight w:val="283"/>
        </w:trPr>
        <w:tc>
          <w:tcPr>
            <w:tcW w:w="6610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19226DC2" w14:textId="748AF691" w:rsidR="00B206C4" w:rsidRPr="00C80A79" w:rsidRDefault="00C80A79" w:rsidP="00892700">
            <w:pPr>
              <w:spacing w:line="240" w:lineRule="auto"/>
              <w:rPr>
                <w:rFonts w:ascii="Calibri" w:eastAsia="Times New Roman" w:hAnsi="Calibri" w:cs="Calibri"/>
                <w:lang w:val="it-IT"/>
              </w:rPr>
            </w:pPr>
            <w:r w:rsidRPr="00C80A79">
              <w:rPr>
                <w:rFonts w:ascii="Calibri" w:hAnsi="Calibri"/>
                <w:lang w:val="it-IT"/>
              </w:rPr>
              <w:t>Risultati finanziari chiave del Gruppo Schaeffler</w:t>
            </w:r>
          </w:p>
          <w:p w14:paraId="58D95D14" w14:textId="77777777" w:rsidR="00B206C4" w:rsidRPr="0022289E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2289E">
              <w:rPr>
                <w:rFonts w:ascii="Calibri" w:hAnsi="Calibri"/>
                <w:sz w:val="14"/>
              </w:rPr>
              <w:t>01/01-03/31 (1</w:t>
            </w:r>
            <w:r w:rsidRPr="0022289E">
              <w:rPr>
                <w:rFonts w:ascii="Calibri" w:hAnsi="Calibri"/>
                <w:sz w:val="14"/>
                <w:vertAlign w:val="superscript"/>
              </w:rPr>
              <w:t>st</w:t>
            </w:r>
            <w:r w:rsidRPr="0022289E">
              <w:rPr>
                <w:rFonts w:ascii="Calibri" w:hAnsi="Calibri"/>
                <w:sz w:val="14"/>
              </w:rPr>
              <w:t xml:space="preserve"> quarter)</w:t>
            </w:r>
          </w:p>
        </w:tc>
      </w:tr>
      <w:tr w:rsidR="00B206C4" w:rsidRPr="00FF48CA" w14:paraId="080DDCEB" w14:textId="77777777" w:rsidTr="318B392E">
        <w:trPr>
          <w:trHeight w:val="283"/>
        </w:trPr>
        <w:tc>
          <w:tcPr>
            <w:tcW w:w="1843" w:type="dxa"/>
            <w:tcBorders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AC5E72F" w14:textId="77777777" w:rsidR="00B206C4" w:rsidRPr="0022289E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2289E">
              <w:rPr>
                <w:rFonts w:ascii="Calibri" w:hAnsi="Calibri"/>
                <w:sz w:val="14"/>
              </w:rPr>
              <w:t>in € millions</w:t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E14C" w14:textId="77777777" w:rsidR="00B206C4" w:rsidRPr="0022289E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31C9F7C1" w14:textId="2BDFC110" w:rsidR="00B206C4" w:rsidRPr="0022289E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 w:rsidRPr="0022289E">
              <w:rPr>
                <w:rFonts w:ascii="Calibri" w:hAnsi="Calibri"/>
                <w:color w:val="00B050"/>
                <w:sz w:val="14"/>
              </w:rPr>
              <w:t>2026</w:t>
            </w: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641B" w14:textId="77777777" w:rsidR="00B206C4" w:rsidRPr="0022289E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707070"/>
              <w:right w:val="nil"/>
            </w:tcBorders>
            <w:vAlign w:val="center"/>
          </w:tcPr>
          <w:p w14:paraId="2437341B" w14:textId="3FFE8105" w:rsidR="00B206C4" w:rsidRPr="0022289E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2289E">
              <w:rPr>
                <w:rFonts w:ascii="Calibri" w:hAnsi="Calibri"/>
                <w:sz w:val="14"/>
              </w:rPr>
              <w:t>2025</w:t>
            </w:r>
          </w:p>
        </w:tc>
        <w:tc>
          <w:tcPr>
            <w:tcW w:w="172" w:type="dxa"/>
            <w:tcBorders>
              <w:left w:val="nil"/>
              <w:right w:val="nil"/>
            </w:tcBorders>
            <w:vAlign w:val="center"/>
          </w:tcPr>
          <w:p w14:paraId="74D6B08B" w14:textId="77777777" w:rsidR="00B206C4" w:rsidRPr="0022289E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707070"/>
              <w:right w:val="nil"/>
            </w:tcBorders>
            <w:vAlign w:val="center"/>
          </w:tcPr>
          <w:p w14:paraId="6B3FC24C" w14:textId="0F961CC4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2289E">
              <w:rPr>
                <w:rFonts w:ascii="Calibri" w:hAnsi="Calibri"/>
                <w:sz w:val="14"/>
              </w:rPr>
              <w:t>Change in %</w:t>
            </w:r>
          </w:p>
        </w:tc>
      </w:tr>
      <w:tr w:rsidR="00B206C4" w:rsidRPr="00FF48CA" w14:paraId="25EFAB96" w14:textId="77777777" w:rsidTr="318B392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0C7DD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Revenue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2E5E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2CDFB81F" w14:textId="156C37F4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5,764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4D4A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8" w:space="0" w:color="707070"/>
              <w:right w:val="nil"/>
            </w:tcBorders>
          </w:tcPr>
          <w:p w14:paraId="364CC30F" w14:textId="3F5D0240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5,924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F29D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78DF348B" w14:textId="04E5E89C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-2.7</w:t>
            </w:r>
          </w:p>
        </w:tc>
      </w:tr>
      <w:tr w:rsidR="00B206C4" w:rsidRPr="00FF48CA" w14:paraId="5A2B6431" w14:textId="77777777" w:rsidTr="318B392E">
        <w:trPr>
          <w:trHeight w:val="300"/>
        </w:trPr>
        <w:tc>
          <w:tcPr>
            <w:tcW w:w="1843" w:type="dxa"/>
            <w:tcBorders>
              <w:top w:val="single" w:sz="8" w:space="0" w:color="707070"/>
              <w:left w:val="nil"/>
              <w:bottom w:val="single" w:sz="8" w:space="0" w:color="707070"/>
              <w:right w:val="nil"/>
            </w:tcBorders>
            <w:vAlign w:val="center"/>
            <w:hideMark/>
          </w:tcPr>
          <w:p w14:paraId="76967354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at constant currency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558E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3A85DBC3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A401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8" w:space="0" w:color="707070"/>
              <w:right w:val="nil"/>
            </w:tcBorders>
          </w:tcPr>
          <w:p w14:paraId="633C7DDF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C71B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32A40A49" w14:textId="14FD070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1.0</w:t>
            </w:r>
          </w:p>
        </w:tc>
      </w:tr>
      <w:tr w:rsidR="00B206C4" w:rsidRPr="00FF48CA" w14:paraId="3735B265" w14:textId="77777777" w:rsidTr="318B392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nil"/>
            </w:tcBorders>
            <w:vAlign w:val="center"/>
            <w:hideMark/>
          </w:tcPr>
          <w:p w14:paraId="4DAF8531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EBIT before special items</w:t>
            </w:r>
            <w:r>
              <w:rPr>
                <w:rFonts w:ascii="Calibri" w:hAnsi="Calibri"/>
                <w:sz w:val="14"/>
                <w:vertAlign w:val="superscript"/>
              </w:rPr>
              <w:t>1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7706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3E04134C" w14:textId="5148021F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 xml:space="preserve">285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1696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8" w:space="0" w:color="707070"/>
              <w:right w:val="nil"/>
            </w:tcBorders>
          </w:tcPr>
          <w:p w14:paraId="6A20595F" w14:textId="5407CB33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276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8C64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1A43D456" w14:textId="70E2819B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3.3</w:t>
            </w:r>
          </w:p>
        </w:tc>
      </w:tr>
      <w:tr w:rsidR="00B206C4" w:rsidRPr="00FF48CA" w14:paraId="4460F6B1" w14:textId="77777777" w:rsidTr="318B392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nil"/>
            </w:tcBorders>
            <w:vAlign w:val="center"/>
            <w:hideMark/>
          </w:tcPr>
          <w:p w14:paraId="2209ADA7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in % of revenue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94CA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2F40146" w14:textId="29C47861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5.0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7F84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8" w:space="0" w:color="707070"/>
              <w:right w:val="nil"/>
            </w:tcBorders>
          </w:tcPr>
          <w:p w14:paraId="16E5E7CA" w14:textId="77777777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4.7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EC07" w14:textId="77777777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AE0927F" w14:textId="77777777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</w:t>
            </w:r>
          </w:p>
        </w:tc>
      </w:tr>
      <w:tr w:rsidR="00B206C4" w:rsidRPr="009657A6" w14:paraId="3807D396" w14:textId="77777777" w:rsidTr="318B3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4B526" w14:textId="77777777" w:rsidR="00B206C4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Free cash flow</w:t>
            </w:r>
            <w:r>
              <w:rPr>
                <w:rFonts w:ascii="Calibri" w:hAnsi="Calibri"/>
                <w:sz w:val="14"/>
                <w:vertAlign w:val="superscript"/>
              </w:rPr>
              <w:t>2</w:t>
            </w:r>
            <w:r>
              <w:rPr>
                <w:rFonts w:ascii="Calibri" w:hAnsi="Calibri"/>
                <w:sz w:val="14"/>
              </w:rPr>
              <w:t xml:space="preserve"> 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64C45" w14:textId="77777777" w:rsidR="00B206C4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8C842" w14:textId="1141EFA9" w:rsidR="00B206C4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-209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779F9" w14:textId="77777777" w:rsidR="00B206C4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4" w:space="0" w:color="auto"/>
              <w:right w:val="nil"/>
            </w:tcBorders>
          </w:tcPr>
          <w:p w14:paraId="34AF11CF" w14:textId="45DB9858" w:rsidR="00B206C4" w:rsidRPr="00BE3188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-155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B0F8F" w14:textId="77777777" w:rsidR="00B206C4" w:rsidRPr="00BE3188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0C73A" w14:textId="19CE9637" w:rsidR="00B206C4" w:rsidRPr="009657A6" w:rsidRDefault="00227259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highlight w:val="yellow"/>
              </w:rPr>
            </w:pPr>
            <w:r>
              <w:rPr>
                <w:rFonts w:ascii="Calibri" w:hAnsi="Calibri"/>
                <w:sz w:val="14"/>
              </w:rPr>
              <w:t xml:space="preserve">-                               </w:t>
            </w:r>
          </w:p>
        </w:tc>
      </w:tr>
      <w:tr w:rsidR="00B206C4" w:rsidRPr="00510812" w14:paraId="69361039" w14:textId="77777777" w:rsidTr="318B392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nil"/>
            </w:tcBorders>
            <w:vAlign w:val="center"/>
            <w:hideMark/>
          </w:tcPr>
          <w:p w14:paraId="1F4D0154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8B334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23FBADD" w14:textId="36C1D7FC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03/31/2026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9C7B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707070"/>
              <w:right w:val="nil"/>
            </w:tcBorders>
          </w:tcPr>
          <w:p w14:paraId="46AFFF9D" w14:textId="0049BBB4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12/31/2025</w:t>
            </w:r>
          </w:p>
        </w:tc>
        <w:tc>
          <w:tcPr>
            <w:tcW w:w="172" w:type="dxa"/>
            <w:tcBorders>
              <w:top w:val="nil"/>
              <w:left w:val="nil"/>
              <w:right w:val="nil"/>
            </w:tcBorders>
            <w:vAlign w:val="center"/>
          </w:tcPr>
          <w:p w14:paraId="68EDF736" w14:textId="77777777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707070"/>
              <w:right w:val="nil"/>
            </w:tcBorders>
            <w:vAlign w:val="center"/>
          </w:tcPr>
          <w:p w14:paraId="0C31AFE8" w14:textId="77777777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Change in %</w:t>
            </w:r>
          </w:p>
        </w:tc>
      </w:tr>
      <w:tr w:rsidR="00B206C4" w:rsidRPr="00510812" w14:paraId="1E7BBC1C" w14:textId="77777777" w:rsidTr="318B392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95CB5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Employees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6B37" w14:textId="77777777" w:rsidR="00B206C4" w:rsidRPr="00FF48CA" w:rsidRDefault="00B206C4" w:rsidP="00892700">
            <w:pPr>
              <w:spacing w:line="240" w:lineRule="auto"/>
              <w:rPr>
                <w:rFonts w:ascii="Calibri" w:eastAsia="Times New Roman" w:hAnsi="Calibri" w:cs="Calibri"/>
                <w:color w:val="616161"/>
                <w:sz w:val="14"/>
                <w:szCs w:val="14"/>
              </w:rPr>
            </w:pPr>
            <w:r>
              <w:rPr>
                <w:rFonts w:ascii="Calibri" w:hAnsi="Calibri"/>
                <w:color w:val="616161"/>
                <w:sz w:val="14"/>
              </w:rPr>
              <w:t> </w:t>
            </w: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BE032" w14:textId="7E81EDD8" w:rsidR="00B206C4" w:rsidRPr="00FF48CA" w:rsidRDefault="003B57A1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109,549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48F05" w14:textId="77777777" w:rsidR="00B206C4" w:rsidRPr="00FF48CA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8639"/>
                <w:sz w:val="14"/>
                <w:szCs w:val="14"/>
              </w:rPr>
            </w:pPr>
            <w:r>
              <w:rPr>
                <w:rFonts w:ascii="Calibri" w:hAnsi="Calibri"/>
                <w:color w:val="008639"/>
                <w:sz w:val="14"/>
              </w:rPr>
              <w:t> </w:t>
            </w: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4" w:space="0" w:color="auto"/>
              <w:right w:val="nil"/>
            </w:tcBorders>
          </w:tcPr>
          <w:p w14:paraId="2B4F76C8" w14:textId="4F8A1DEF" w:rsidR="00B206C4" w:rsidRPr="00E44812" w:rsidRDefault="003B57A1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110,753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9779" w14:textId="77777777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 </w:t>
            </w:r>
          </w:p>
        </w:tc>
        <w:tc>
          <w:tcPr>
            <w:tcW w:w="1417" w:type="dxa"/>
            <w:tcBorders>
              <w:top w:val="single" w:sz="8" w:space="0" w:color="70707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BB502" w14:textId="12E40259" w:rsidR="00B206C4" w:rsidRPr="00E44812" w:rsidRDefault="00B206C4" w:rsidP="00892700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E4F66">
              <w:rPr>
                <w:rFonts w:ascii="Calibri" w:hAnsi="Calibri"/>
                <w:sz w:val="14"/>
                <w:szCs w:val="14"/>
              </w:rPr>
              <w:t>-1.</w:t>
            </w:r>
            <w:r w:rsidR="70FE6C86" w:rsidRPr="00FE4F66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  <w:tr w:rsidR="00B206C4" w:rsidRPr="00510812" w14:paraId="01BA8224" w14:textId="77777777" w:rsidTr="318B392E">
        <w:trPr>
          <w:trHeight w:val="300"/>
        </w:trPr>
        <w:tc>
          <w:tcPr>
            <w:tcW w:w="6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EC425C" w14:textId="6DD41D56" w:rsidR="00B206C4" w:rsidRPr="009D4C92" w:rsidRDefault="00B206C4" w:rsidP="00892700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BE6658">
              <w:rPr>
                <w:rFonts w:ascii="Calibri" w:hAnsi="Calibri"/>
                <w:sz w:val="10"/>
                <w:vertAlign w:val="superscript"/>
              </w:rPr>
              <w:t>1</w:t>
            </w:r>
            <w:r>
              <w:rPr>
                <w:rFonts w:ascii="Calibri" w:hAnsi="Calibri"/>
                <w:sz w:val="10"/>
              </w:rPr>
              <w:t xml:space="preserve"> Please refer to the interim statement Q1 2026, pp. 9 et seq., for the definition of special items. </w:t>
            </w:r>
            <w:r>
              <w:rPr>
                <w:rFonts w:ascii="Calibri" w:hAnsi="Calibri"/>
                <w:sz w:val="10"/>
              </w:rPr>
              <w:br/>
            </w:r>
            <w:r w:rsidRPr="00BE6658">
              <w:rPr>
                <w:rFonts w:ascii="Calibri" w:hAnsi="Calibri"/>
                <w:sz w:val="10"/>
                <w:vertAlign w:val="superscript"/>
              </w:rPr>
              <w:t>2</w:t>
            </w:r>
            <w:r>
              <w:rPr>
                <w:rFonts w:ascii="Calibri" w:hAnsi="Calibri"/>
                <w:sz w:val="10"/>
              </w:rPr>
              <w:t xml:space="preserve"> Before cash in- and outflows for M&amp;A activities.</w:t>
            </w:r>
          </w:p>
        </w:tc>
      </w:tr>
    </w:tbl>
    <w:p w14:paraId="68C61978" w14:textId="77777777" w:rsidR="00FA1992" w:rsidRPr="00FA1992" w:rsidRDefault="00FA1992" w:rsidP="00B13126">
      <w:pPr>
        <w:rPr>
          <w:rStyle w:val="Enfasigrassetto"/>
          <w:sz w:val="16"/>
          <w:szCs w:val="16"/>
        </w:rPr>
      </w:pPr>
    </w:p>
    <w:p w14:paraId="5FBF3FFF" w14:textId="77777777" w:rsidR="00C652E3" w:rsidRDefault="00D66D7F" w:rsidP="00C80A79">
      <w:pPr>
        <w:rPr>
          <w:lang w:val="it-IT"/>
        </w:rPr>
      </w:pPr>
      <w:r w:rsidRPr="00C80A79">
        <w:rPr>
          <w:rStyle w:val="Enfasigrassetto"/>
          <w:lang w:val="it-IT"/>
        </w:rPr>
        <w:t xml:space="preserve">E-Mobility – </w:t>
      </w:r>
      <w:r w:rsidR="00C80A79">
        <w:rPr>
          <w:rStyle w:val="Enfasigrassetto"/>
          <w:lang w:val="it-IT"/>
        </w:rPr>
        <w:t>Miglioramento della redditività</w:t>
      </w:r>
      <w:r w:rsidRPr="00C80A79">
        <w:rPr>
          <w:rStyle w:val="Enfasigrassetto"/>
          <w:lang w:val="it-IT"/>
        </w:rPr>
        <w:t xml:space="preserve"> </w:t>
      </w:r>
      <w:r w:rsidRPr="00C80A79">
        <w:rPr>
          <w:rStyle w:val="Enfasigrassetto"/>
          <w:lang w:val="it-IT"/>
        </w:rPr>
        <w:br/>
      </w:r>
      <w:r w:rsidR="00C80A79" w:rsidRPr="00C80A79">
        <w:rPr>
          <w:lang w:val="it-IT"/>
        </w:rPr>
        <w:t xml:space="preserve">Nel periodo in esame, il fatturato della </w:t>
      </w:r>
      <w:r w:rsidR="00C652E3">
        <w:rPr>
          <w:lang w:val="it-IT"/>
        </w:rPr>
        <w:t>D</w:t>
      </w:r>
      <w:r w:rsidR="00C80A79" w:rsidRPr="00C80A79">
        <w:rPr>
          <w:lang w:val="it-IT"/>
        </w:rPr>
        <w:t>ivisione E</w:t>
      </w:r>
      <w:r w:rsidR="00C80A79" w:rsidRPr="00C80A79">
        <w:rPr>
          <w:rFonts w:ascii="Cambria Math" w:hAnsi="Cambria Math" w:cs="Cambria Math"/>
          <w:lang w:val="it-IT"/>
        </w:rPr>
        <w:t>‑</w:t>
      </w:r>
      <w:r w:rsidR="00C80A79" w:rsidRPr="00C80A79">
        <w:rPr>
          <w:lang w:val="it-IT"/>
        </w:rPr>
        <w:t xml:space="preserve">Mobility </w:t>
      </w:r>
      <w:r w:rsidR="00C80A79" w:rsidRPr="00C80A79">
        <w:rPr>
          <w:rFonts w:ascii="Calibri" w:hAnsi="Calibri" w:cs="Calibri"/>
          <w:lang w:val="it-IT"/>
        </w:rPr>
        <w:t>è</w:t>
      </w:r>
      <w:r w:rsidR="00C80A79" w:rsidRPr="00C80A79">
        <w:rPr>
          <w:lang w:val="it-IT"/>
        </w:rPr>
        <w:t xml:space="preserve"> aumentato del 6,0</w:t>
      </w:r>
      <w:r w:rsidR="00C80A79">
        <w:rPr>
          <w:lang w:val="it-IT"/>
        </w:rPr>
        <w:t xml:space="preserve"> percento</w:t>
      </w:r>
      <w:r w:rsidR="00C80A79" w:rsidRPr="00C80A79">
        <w:rPr>
          <w:lang w:val="it-IT"/>
        </w:rPr>
        <w:t xml:space="preserve"> al netto degli effetti di cambio, raggiungendo 1.210 milioni di euro (anno precedente: 1.167 milioni di euro), principalmente grazie all</w:t>
      </w:r>
      <w:r w:rsidR="00C80A79" w:rsidRPr="00C80A79">
        <w:rPr>
          <w:rFonts w:ascii="Calibri" w:hAnsi="Calibri" w:cs="Calibri"/>
          <w:lang w:val="it-IT"/>
        </w:rPr>
        <w:t>’</w:t>
      </w:r>
      <w:r w:rsidR="00C80A79" w:rsidRPr="00C80A79">
        <w:rPr>
          <w:lang w:val="it-IT"/>
        </w:rPr>
        <w:t>avvio e alla crescita dei volumi di produzione (product ramp</w:t>
      </w:r>
      <w:r w:rsidR="00C80A79" w:rsidRPr="00C80A79">
        <w:rPr>
          <w:rFonts w:ascii="Cambria Math" w:hAnsi="Cambria Math" w:cs="Cambria Math"/>
          <w:lang w:val="it-IT"/>
        </w:rPr>
        <w:t>‑</w:t>
      </w:r>
      <w:r w:rsidR="00C80A79" w:rsidRPr="00C80A79">
        <w:rPr>
          <w:lang w:val="it-IT"/>
        </w:rPr>
        <w:t xml:space="preserve">ups) nelle </w:t>
      </w:r>
      <w:r w:rsidR="00C80A79">
        <w:rPr>
          <w:lang w:val="it-IT"/>
        </w:rPr>
        <w:t>R</w:t>
      </w:r>
      <w:r w:rsidR="00C80A79" w:rsidRPr="00C80A79">
        <w:rPr>
          <w:lang w:val="it-IT"/>
        </w:rPr>
        <w:t>egioni Europ</w:t>
      </w:r>
      <w:r w:rsidR="00C80A79">
        <w:rPr>
          <w:lang w:val="it-IT"/>
        </w:rPr>
        <w:t>e</w:t>
      </w:r>
      <w:r w:rsidR="00C80A79" w:rsidRPr="00C80A79">
        <w:rPr>
          <w:lang w:val="it-IT"/>
        </w:rPr>
        <w:t xml:space="preserve"> e Asia/Pacific.</w:t>
      </w:r>
      <w:r w:rsidR="00C80A79">
        <w:rPr>
          <w:lang w:val="it-IT"/>
        </w:rPr>
        <w:t xml:space="preserve"> </w:t>
      </w:r>
    </w:p>
    <w:p w14:paraId="050CD75F" w14:textId="75267764" w:rsidR="00B13126" w:rsidRPr="00C80A79" w:rsidRDefault="00C80A79" w:rsidP="00C80A79">
      <w:pPr>
        <w:rPr>
          <w:lang w:val="it-IT"/>
        </w:rPr>
      </w:pPr>
      <w:r w:rsidRPr="00C80A79">
        <w:rPr>
          <w:lang w:val="it-IT"/>
        </w:rPr>
        <w:t xml:space="preserve">Nel primo trimestre dell’anno, l’EBIT prima delle operazioni straordinarie è migliorato, attestandosi a </w:t>
      </w:r>
      <w:r>
        <w:rPr>
          <w:lang w:val="it-IT"/>
        </w:rPr>
        <w:t>-</w:t>
      </w:r>
      <w:r w:rsidRPr="00C80A79">
        <w:rPr>
          <w:lang w:val="it-IT"/>
        </w:rPr>
        <w:t xml:space="preserve">215 milioni di euro (anno precedente: </w:t>
      </w:r>
      <w:r>
        <w:rPr>
          <w:lang w:val="it-IT"/>
        </w:rPr>
        <w:t>-</w:t>
      </w:r>
      <w:r w:rsidRPr="00C80A79">
        <w:rPr>
          <w:lang w:val="it-IT"/>
        </w:rPr>
        <w:t xml:space="preserve">269 milioni di euro). Ciò corrisponde a un Margine EBIT prima delle operazioni straordinarie pari a </w:t>
      </w:r>
      <w:r>
        <w:rPr>
          <w:lang w:val="it-IT"/>
        </w:rPr>
        <w:t>-</w:t>
      </w:r>
      <w:r w:rsidRPr="00C80A79">
        <w:rPr>
          <w:lang w:val="it-IT"/>
        </w:rPr>
        <w:t>17,8</w:t>
      </w:r>
      <w:r>
        <w:rPr>
          <w:lang w:val="it-IT"/>
        </w:rPr>
        <w:t xml:space="preserve"> percento</w:t>
      </w:r>
      <w:r w:rsidRPr="00C80A79">
        <w:rPr>
          <w:lang w:val="it-IT"/>
        </w:rPr>
        <w:t xml:space="preserve"> (anno precedente: </w:t>
      </w:r>
      <w:r>
        <w:rPr>
          <w:lang w:val="it-IT"/>
        </w:rPr>
        <w:t>-</w:t>
      </w:r>
      <w:r w:rsidRPr="00C80A79">
        <w:rPr>
          <w:lang w:val="it-IT"/>
        </w:rPr>
        <w:t>23,1</w:t>
      </w:r>
      <w:r>
        <w:rPr>
          <w:lang w:val="it-IT"/>
        </w:rPr>
        <w:t xml:space="preserve"> percento</w:t>
      </w:r>
      <w:r w:rsidRPr="00C80A79">
        <w:rPr>
          <w:lang w:val="it-IT"/>
        </w:rPr>
        <w:t xml:space="preserve">). Il miglioramento rispetto al periodo dell’anno precedente è stato dovuto principalmente agli effetti </w:t>
      </w:r>
      <w:r>
        <w:rPr>
          <w:lang w:val="it-IT"/>
        </w:rPr>
        <w:t>dei volumi di vendita</w:t>
      </w:r>
      <w:r w:rsidRPr="00C80A79">
        <w:rPr>
          <w:lang w:val="it-IT"/>
        </w:rPr>
        <w:t xml:space="preserve"> e a una migliore performance operativa degli stabilimenti produttivi</w:t>
      </w:r>
      <w:r w:rsidR="00030876" w:rsidRPr="00C80A79">
        <w:rPr>
          <w:lang w:val="it-IT"/>
        </w:rPr>
        <w:t xml:space="preserve">. </w:t>
      </w:r>
    </w:p>
    <w:p w14:paraId="538CAD60" w14:textId="77777777" w:rsidR="005A5580" w:rsidRDefault="00030876" w:rsidP="005A5580">
      <w:pPr>
        <w:rPr>
          <w:lang w:val="it-IT"/>
        </w:rPr>
      </w:pPr>
      <w:r w:rsidRPr="005A5580">
        <w:rPr>
          <w:rStyle w:val="Enfasigrassetto"/>
          <w:lang w:val="it-IT"/>
        </w:rPr>
        <w:t xml:space="preserve">Powertrain &amp; Chassis – </w:t>
      </w:r>
      <w:r w:rsidR="00C80A79" w:rsidRPr="005A5580">
        <w:rPr>
          <w:rStyle w:val="Enfasigrassetto"/>
          <w:lang w:val="it-IT"/>
        </w:rPr>
        <w:t>Margine</w:t>
      </w:r>
      <w:r w:rsidRPr="005A5580">
        <w:rPr>
          <w:rStyle w:val="Enfasigrassetto"/>
          <w:lang w:val="it-IT"/>
        </w:rPr>
        <w:t xml:space="preserve"> EBIT </w:t>
      </w:r>
      <w:r w:rsidR="00C80A79" w:rsidRPr="005A5580">
        <w:rPr>
          <w:rStyle w:val="Enfasigrassetto"/>
          <w:lang w:val="it-IT"/>
        </w:rPr>
        <w:t>a doppia cifra</w:t>
      </w:r>
      <w:r w:rsidRPr="005A5580">
        <w:rPr>
          <w:rStyle w:val="Enfasigrassetto"/>
          <w:lang w:val="it-IT"/>
        </w:rPr>
        <w:t xml:space="preserve"> </w:t>
      </w:r>
      <w:r w:rsidRPr="005A5580">
        <w:rPr>
          <w:lang w:val="it-IT"/>
        </w:rPr>
        <w:br/>
      </w:r>
      <w:r w:rsidR="005A5580" w:rsidRPr="005A5580">
        <w:rPr>
          <w:lang w:val="it-IT"/>
        </w:rPr>
        <w:t xml:space="preserve">In un contesto di mercato che rimane debole, il fatturato della </w:t>
      </w:r>
      <w:r w:rsidR="005A5580">
        <w:rPr>
          <w:lang w:val="it-IT"/>
        </w:rPr>
        <w:t>D</w:t>
      </w:r>
      <w:r w:rsidR="005A5580" w:rsidRPr="005A5580">
        <w:rPr>
          <w:lang w:val="it-IT"/>
        </w:rPr>
        <w:t xml:space="preserve">ivisione Powertrain &amp; Chassis nei primi tre mesi dell’anno è diminuito leggermente rispetto </w:t>
      </w:r>
      <w:r w:rsidR="005A5580">
        <w:rPr>
          <w:lang w:val="it-IT"/>
        </w:rPr>
        <w:t>all’anno</w:t>
      </w:r>
      <w:r w:rsidR="005A5580" w:rsidRPr="005A5580">
        <w:rPr>
          <w:lang w:val="it-IT"/>
        </w:rPr>
        <w:t xml:space="preserve"> precedente, registrando un calo dell’1,8</w:t>
      </w:r>
      <w:r w:rsidR="005A5580">
        <w:rPr>
          <w:lang w:val="it-IT"/>
        </w:rPr>
        <w:t xml:space="preserve"> percento</w:t>
      </w:r>
      <w:r w:rsidR="005A5580" w:rsidRPr="005A5580">
        <w:rPr>
          <w:lang w:val="it-IT"/>
        </w:rPr>
        <w:t xml:space="preserve"> al netto degli effetti di cambio. A questa flessione ha contribuito anche l’impatto della razionalizzazione strategica del portafoglio. Nel periodo di riferimento, la </w:t>
      </w:r>
      <w:r w:rsidR="005A5580">
        <w:rPr>
          <w:lang w:val="it-IT"/>
        </w:rPr>
        <w:t>D</w:t>
      </w:r>
      <w:r w:rsidR="005A5580" w:rsidRPr="005A5580">
        <w:rPr>
          <w:lang w:val="it-IT"/>
        </w:rPr>
        <w:t>ivisione ha generato un fatturato complessivo di 2.141 milioni di euro (anno precedente: 2.278 milioni di euro).</w:t>
      </w:r>
      <w:r w:rsidR="005A5580">
        <w:rPr>
          <w:lang w:val="it-IT"/>
        </w:rPr>
        <w:t xml:space="preserve"> </w:t>
      </w:r>
    </w:p>
    <w:p w14:paraId="08249384" w14:textId="45712E23" w:rsidR="005A5580" w:rsidRPr="005A5580" w:rsidRDefault="005A5580" w:rsidP="005A5580">
      <w:pPr>
        <w:rPr>
          <w:lang w:val="it-IT"/>
        </w:rPr>
      </w:pPr>
      <w:r w:rsidRPr="005A5580">
        <w:rPr>
          <w:lang w:val="it-IT"/>
        </w:rPr>
        <w:t xml:space="preserve">Nel primo trimestre, la </w:t>
      </w:r>
      <w:r>
        <w:rPr>
          <w:lang w:val="it-IT"/>
        </w:rPr>
        <w:t>D</w:t>
      </w:r>
      <w:r w:rsidRPr="005A5580">
        <w:rPr>
          <w:lang w:val="it-IT"/>
        </w:rPr>
        <w:t xml:space="preserve">ivisione Powertrain &amp; Chassis ha conseguito un EBIT prima delle operazioni straordinarie pari a 246 milioni di euro (anno precedente: </w:t>
      </w:r>
      <w:r w:rsidRPr="005A5580">
        <w:rPr>
          <w:lang w:val="it-IT"/>
        </w:rPr>
        <w:lastRenderedPageBreak/>
        <w:t xml:space="preserve">290 milioni di euro). Ciò corrisponde a un Margine EBIT prima delle operazioni straordinarie dell’11,5 </w:t>
      </w:r>
      <w:r>
        <w:rPr>
          <w:lang w:val="it-IT"/>
        </w:rPr>
        <w:t>percento</w:t>
      </w:r>
      <w:r w:rsidRPr="005A5580">
        <w:rPr>
          <w:lang w:val="it-IT"/>
        </w:rPr>
        <w:t xml:space="preserve"> (anno precedente: 12,7</w:t>
      </w:r>
      <w:r>
        <w:rPr>
          <w:lang w:val="it-IT"/>
        </w:rPr>
        <w:t xml:space="preserve"> percento</w:t>
      </w:r>
      <w:r w:rsidRPr="005A5580">
        <w:rPr>
          <w:lang w:val="it-IT"/>
        </w:rPr>
        <w:t>).</w:t>
      </w:r>
    </w:p>
    <w:p w14:paraId="5862E9BA" w14:textId="30259592" w:rsidR="005A5580" w:rsidRPr="005A5580" w:rsidRDefault="00A85BA1" w:rsidP="005A5580">
      <w:pPr>
        <w:rPr>
          <w:lang w:val="it-IT"/>
        </w:rPr>
      </w:pPr>
      <w:r w:rsidRPr="005A5580">
        <w:rPr>
          <w:rStyle w:val="Enfasigrassetto"/>
          <w:lang w:val="it-IT"/>
        </w:rPr>
        <w:t xml:space="preserve">Vehicle Lifetime Solutions – </w:t>
      </w:r>
      <w:r w:rsidR="005A5580">
        <w:rPr>
          <w:rStyle w:val="Enfasigrassetto"/>
          <w:lang w:val="it-IT"/>
        </w:rPr>
        <w:t xml:space="preserve">Margine </w:t>
      </w:r>
      <w:r w:rsidRPr="005A5580">
        <w:rPr>
          <w:rStyle w:val="Enfasigrassetto"/>
          <w:lang w:val="it-IT"/>
        </w:rPr>
        <w:t>EBIT</w:t>
      </w:r>
      <w:r w:rsidR="005A5580">
        <w:rPr>
          <w:rStyle w:val="Enfasigrassetto"/>
          <w:lang w:val="it-IT"/>
        </w:rPr>
        <w:t xml:space="preserve"> in ulteriore aumento</w:t>
      </w:r>
      <w:r w:rsidRPr="005A5580">
        <w:rPr>
          <w:rStyle w:val="Enfasigrassetto"/>
          <w:lang w:val="it-IT"/>
        </w:rPr>
        <w:br/>
      </w:r>
      <w:r w:rsidR="005A5580" w:rsidRPr="005A5580">
        <w:rPr>
          <w:lang w:val="it-IT"/>
        </w:rPr>
        <w:t xml:space="preserve">Nel periodo di riferimento, il fatturato della </w:t>
      </w:r>
      <w:r w:rsidR="005A5580">
        <w:rPr>
          <w:lang w:val="it-IT"/>
        </w:rPr>
        <w:t>D</w:t>
      </w:r>
      <w:r w:rsidR="005A5580" w:rsidRPr="005A5580">
        <w:rPr>
          <w:lang w:val="it-IT"/>
        </w:rPr>
        <w:t>ivisione Vehicle Lifetime Solutions è aumentato dello 0,9</w:t>
      </w:r>
      <w:r w:rsidR="005A5580">
        <w:rPr>
          <w:lang w:val="it-IT"/>
        </w:rPr>
        <w:t xml:space="preserve"> percento</w:t>
      </w:r>
      <w:r w:rsidR="005A5580" w:rsidRPr="005A5580">
        <w:rPr>
          <w:lang w:val="it-IT"/>
        </w:rPr>
        <w:t xml:space="preserve"> al netto degli effetti di cambio, raggiungendo 801 milioni di euro (anno precedente: 813 milioni di euro). Il lieve incremento del fatturato al netto degli effetti di cambio è attribuibile principalmente agli adeguamenti dei prezzi di vendita effettuati nell’esercizio precedente.</w:t>
      </w:r>
    </w:p>
    <w:p w14:paraId="39038B3B" w14:textId="76F38C91" w:rsidR="00274B82" w:rsidRPr="005A5580" w:rsidRDefault="005A5580" w:rsidP="005A5580">
      <w:pPr>
        <w:rPr>
          <w:lang w:val="it-IT"/>
        </w:rPr>
      </w:pPr>
      <w:r w:rsidRPr="005A5580">
        <w:rPr>
          <w:lang w:val="it-IT"/>
        </w:rPr>
        <w:t>Nel primo trimestre, l’EBIT prima delle operazioni straordinarie si è attestato a 128 milioni di euro (anno precedente: 126 milioni di euro), corrispondente a un Margine EBIT prima delle operazioni straordinarie del 15,9</w:t>
      </w:r>
      <w:r>
        <w:rPr>
          <w:lang w:val="it-IT"/>
        </w:rPr>
        <w:t xml:space="preserve"> percento</w:t>
      </w:r>
      <w:r w:rsidRPr="005A5580">
        <w:rPr>
          <w:lang w:val="it-IT"/>
        </w:rPr>
        <w:t xml:space="preserve"> (anno precedente: 15,5</w:t>
      </w:r>
      <w:r>
        <w:rPr>
          <w:lang w:val="it-IT"/>
        </w:rPr>
        <w:t xml:space="preserve"> percento</w:t>
      </w:r>
      <w:r w:rsidRPr="005A5580">
        <w:rPr>
          <w:lang w:val="it-IT"/>
        </w:rPr>
        <w:t>)</w:t>
      </w:r>
      <w:r w:rsidR="00A85BA1" w:rsidRPr="005A5580">
        <w:rPr>
          <w:lang w:val="it-IT"/>
        </w:rPr>
        <w:t xml:space="preserve">.  </w:t>
      </w:r>
    </w:p>
    <w:p w14:paraId="72481DDC" w14:textId="08F7CD71" w:rsidR="005A5580" w:rsidRPr="005A5580" w:rsidRDefault="008B18D3" w:rsidP="005A5580">
      <w:pPr>
        <w:rPr>
          <w:lang w:val="it-IT"/>
        </w:rPr>
      </w:pPr>
      <w:r w:rsidRPr="005A5580">
        <w:rPr>
          <w:rStyle w:val="Enfasigrassetto"/>
          <w:lang w:val="it-IT"/>
        </w:rPr>
        <w:t xml:space="preserve">Bearings &amp; Industrial Solutions – </w:t>
      </w:r>
      <w:r w:rsidR="005A5580" w:rsidRPr="005A5580">
        <w:rPr>
          <w:rStyle w:val="Enfasigrassetto"/>
          <w:lang w:val="it-IT"/>
        </w:rPr>
        <w:t>Spinta favorevole dalla Cina</w:t>
      </w:r>
      <w:r w:rsidRPr="005A5580">
        <w:rPr>
          <w:rStyle w:val="Enfasigrassetto"/>
          <w:lang w:val="it-IT"/>
        </w:rPr>
        <w:br/>
      </w:r>
      <w:r w:rsidR="005A5580" w:rsidRPr="005A5580">
        <w:rPr>
          <w:lang w:val="it-IT"/>
        </w:rPr>
        <w:t xml:space="preserve">In un contesto di mercato che rimane sfidante, la </w:t>
      </w:r>
      <w:r w:rsidR="005A5580">
        <w:rPr>
          <w:lang w:val="it-IT"/>
        </w:rPr>
        <w:t>D</w:t>
      </w:r>
      <w:r w:rsidR="005A5580" w:rsidRPr="005A5580">
        <w:rPr>
          <w:lang w:val="it-IT"/>
        </w:rPr>
        <w:t>ivisione Bearings &amp; Industrial Solutions ha registrato nel primo trimestre un fatturato pari a 1.573 milioni di euro (anno precedente: 1.625 milioni di euro). Il lieve incremento del fatturato al netto degli effetti di cambio, pari all’1,6</w:t>
      </w:r>
      <w:r w:rsidR="005A5580">
        <w:rPr>
          <w:lang w:val="it-IT"/>
        </w:rPr>
        <w:t xml:space="preserve"> percento</w:t>
      </w:r>
      <w:r w:rsidR="005A5580" w:rsidRPr="005A5580">
        <w:rPr>
          <w:lang w:val="it-IT"/>
        </w:rPr>
        <w:t xml:space="preserve">, è stato trainato principalmente da una spinta favorevole proveniente dalla </w:t>
      </w:r>
      <w:r w:rsidR="005A5580">
        <w:rPr>
          <w:lang w:val="it-IT"/>
        </w:rPr>
        <w:t>R</w:t>
      </w:r>
      <w:r w:rsidR="005A5580" w:rsidRPr="005A5580">
        <w:rPr>
          <w:lang w:val="it-IT"/>
        </w:rPr>
        <w:t>egione Greater China.</w:t>
      </w:r>
    </w:p>
    <w:p w14:paraId="2BB8883B" w14:textId="72834C4C" w:rsidR="00DE7DBD" w:rsidRPr="005A5580" w:rsidRDefault="005A5580" w:rsidP="005A5580">
      <w:pPr>
        <w:rPr>
          <w:lang w:val="it-IT"/>
        </w:rPr>
      </w:pPr>
      <w:r w:rsidRPr="005A5580">
        <w:rPr>
          <w:lang w:val="it-IT"/>
        </w:rPr>
        <w:t xml:space="preserve">Nel periodo in esame, l’EBIT prima delle operazioni straordinarie è stato pari a 142 milioni di euro (anno precedente: 162 milioni di euro). Il </w:t>
      </w:r>
      <w:r w:rsidR="00C652E3">
        <w:rPr>
          <w:lang w:val="it-IT"/>
        </w:rPr>
        <w:t>m</w:t>
      </w:r>
      <w:r w:rsidRPr="005A5580">
        <w:rPr>
          <w:lang w:val="it-IT"/>
        </w:rPr>
        <w:t>argine EBIT prima delle operazioni straordinarie del 9,0</w:t>
      </w:r>
      <w:r>
        <w:rPr>
          <w:lang w:val="it-IT"/>
        </w:rPr>
        <w:t xml:space="preserve"> percento</w:t>
      </w:r>
      <w:r w:rsidRPr="005A5580">
        <w:rPr>
          <w:lang w:val="it-IT"/>
        </w:rPr>
        <w:t xml:space="preserve"> (anno precedente: 10,0</w:t>
      </w:r>
      <w:r>
        <w:rPr>
          <w:lang w:val="it-IT"/>
        </w:rPr>
        <w:t xml:space="preserve"> percento</w:t>
      </w:r>
      <w:r w:rsidRPr="005A5580">
        <w:rPr>
          <w:lang w:val="it-IT"/>
        </w:rPr>
        <w:t>) è in linea con le attese</w:t>
      </w:r>
      <w:r w:rsidR="008B18D3" w:rsidRPr="005A5580">
        <w:rPr>
          <w:lang w:val="it-IT"/>
        </w:rPr>
        <w:t>.</w:t>
      </w:r>
    </w:p>
    <w:p w14:paraId="117B4998" w14:textId="77777777" w:rsidR="00DE7DBD" w:rsidRPr="005A5580" w:rsidRDefault="00DE7DBD" w:rsidP="00274B82">
      <w:pPr>
        <w:rPr>
          <w:lang w:val="it-IT"/>
        </w:rPr>
      </w:pPr>
    </w:p>
    <w:tbl>
      <w:tblPr>
        <w:tblW w:w="6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63"/>
        <w:gridCol w:w="1417"/>
        <w:gridCol w:w="162"/>
        <w:gridCol w:w="1417"/>
        <w:gridCol w:w="162"/>
        <w:gridCol w:w="1417"/>
      </w:tblGrid>
      <w:tr w:rsidR="0015725F" w:rsidRPr="00A62BF4" w14:paraId="16850812" w14:textId="77777777" w:rsidTr="00C527F8">
        <w:trPr>
          <w:trHeight w:val="300"/>
        </w:trPr>
        <w:tc>
          <w:tcPr>
            <w:tcW w:w="6785" w:type="dxa"/>
            <w:gridSpan w:val="7"/>
            <w:tcBorders>
              <w:left w:val="nil"/>
            </w:tcBorders>
            <w:noWrap/>
          </w:tcPr>
          <w:p w14:paraId="5CBB0F8C" w14:textId="6554EE79" w:rsidR="0015725F" w:rsidRPr="005A5580" w:rsidRDefault="005A5580" w:rsidP="00C527F8">
            <w:pPr>
              <w:spacing w:line="240" w:lineRule="auto"/>
              <w:rPr>
                <w:rFonts w:ascii="Calibri" w:eastAsia="Times New Roman" w:hAnsi="Calibri" w:cs="Calibri"/>
                <w:lang w:val="it-IT"/>
              </w:rPr>
            </w:pPr>
            <w:r w:rsidRPr="005A5580">
              <w:rPr>
                <w:rFonts w:ascii="Calibri" w:hAnsi="Calibri"/>
                <w:lang w:val="it-IT"/>
              </w:rPr>
              <w:t>Risultati finanziari chiave per D</w:t>
            </w:r>
            <w:r>
              <w:rPr>
                <w:rFonts w:ascii="Calibri" w:hAnsi="Calibri"/>
                <w:lang w:val="it-IT"/>
              </w:rPr>
              <w:t>ivisione</w:t>
            </w:r>
          </w:p>
          <w:p w14:paraId="0F504C1F" w14:textId="77777777" w:rsidR="0015725F" w:rsidRPr="00554E28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val="it-IT"/>
              </w:rPr>
            </w:pPr>
            <w:r w:rsidRPr="00554E28">
              <w:rPr>
                <w:rFonts w:ascii="Calibri" w:hAnsi="Calibri"/>
                <w:sz w:val="14"/>
                <w:lang w:val="it-IT"/>
              </w:rPr>
              <w:t>01/01-03/31 (1</w:t>
            </w:r>
            <w:r w:rsidRPr="00554E28">
              <w:rPr>
                <w:rFonts w:ascii="Calibri" w:hAnsi="Calibri"/>
                <w:sz w:val="14"/>
                <w:vertAlign w:val="superscript"/>
                <w:lang w:val="it-IT"/>
              </w:rPr>
              <w:t>st</w:t>
            </w:r>
            <w:r w:rsidRPr="00554E28">
              <w:rPr>
                <w:rFonts w:ascii="Calibri" w:hAnsi="Calibri"/>
                <w:sz w:val="14"/>
                <w:lang w:val="it-IT"/>
              </w:rPr>
              <w:t xml:space="preserve"> quarter)</w:t>
            </w:r>
          </w:p>
        </w:tc>
      </w:tr>
      <w:tr w:rsidR="0015725F" w14:paraId="4C7CBF20" w14:textId="77777777" w:rsidTr="00C527F8">
        <w:trPr>
          <w:trHeight w:val="300"/>
        </w:trPr>
        <w:tc>
          <w:tcPr>
            <w:tcW w:w="204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366F8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in € millions</w:t>
            </w: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F610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97F9C" w14:textId="4318963F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2026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3533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B2C1D7" w14:textId="59E4EAF2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2025</w:t>
            </w: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32C3268E" w14:textId="77777777" w:rsidR="0015725F" w:rsidRDefault="0015725F" w:rsidP="00C527F8">
            <w:pPr>
              <w:spacing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03AADA13" w14:textId="3AA29796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Change in %</w:t>
            </w:r>
          </w:p>
        </w:tc>
      </w:tr>
      <w:tr w:rsidR="0015725F" w14:paraId="2B7A5169" w14:textId="77777777" w:rsidTr="00C527F8">
        <w:trPr>
          <w:trHeight w:val="300"/>
        </w:trPr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8BD1F9D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E-Mobility</w:t>
            </w: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C6F1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DD85" w14:textId="77777777" w:rsidR="0015725F" w:rsidRDefault="0015725F" w:rsidP="00C527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2C95" w14:textId="77777777" w:rsidR="0015725F" w:rsidRDefault="0015725F" w:rsidP="00C527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0DDF" w14:textId="77777777" w:rsidR="0015725F" w:rsidRDefault="0015725F" w:rsidP="00C527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1E4F144" w14:textId="77777777" w:rsidR="0015725F" w:rsidRDefault="0015725F" w:rsidP="00C527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14:paraId="47087B98" w14:textId="77777777" w:rsidR="0015725F" w:rsidRDefault="0015725F" w:rsidP="00C527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5725F" w14:paraId="5A0F4D9C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E91F5CD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Revenue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65F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84823F9" w14:textId="2A19BFEF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1,210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06D6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8117D" w14:textId="170DB3AF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1,167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51B3C8C4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9F7AB" w14:textId="3D6F1464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3.7</w:t>
            </w:r>
          </w:p>
        </w:tc>
      </w:tr>
      <w:tr w:rsidR="0015725F" w14:paraId="577A6083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1821487E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 xml:space="preserve">• at constant currency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D60D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5AE871D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4DEE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4A0F7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0BD0072A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F8B28" w14:textId="08EBC5AA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6.0</w:t>
            </w:r>
          </w:p>
        </w:tc>
      </w:tr>
      <w:tr w:rsidR="0015725F" w14:paraId="12CEE507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CD55969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EBIT before special items</w:t>
            </w:r>
            <w:r>
              <w:rPr>
                <w:rFonts w:ascii="Calibri" w:hAnsi="Calibri"/>
                <w:sz w:val="14"/>
                <w:vertAlign w:val="superscript"/>
              </w:rPr>
              <w:t>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C01F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297E6132" w14:textId="178F52D0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-215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7F6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341C3E48" w14:textId="51D37521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-269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3A8E274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7A8671F6" w14:textId="4B0E432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20.2</w:t>
            </w:r>
          </w:p>
        </w:tc>
      </w:tr>
      <w:tr w:rsidR="0015725F" w14:paraId="530EBA21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4FE5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in % of revenue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C778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71B57" w14:textId="45EFD074" w:rsidR="0015725F" w:rsidRPr="00522216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-17.8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9CCB" w14:textId="77777777" w:rsidR="0015725F" w:rsidRPr="00522216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BD676" w14:textId="5C704903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-23.1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ADF47F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93D3A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</w:t>
            </w:r>
          </w:p>
        </w:tc>
      </w:tr>
      <w:tr w:rsidR="0015725F" w14:paraId="41D9BA6B" w14:textId="77777777" w:rsidTr="00C527F8">
        <w:trPr>
          <w:trHeight w:val="300"/>
        </w:trPr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77075894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Powertrain &amp; Chassis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28BD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C7FB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C29F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030D0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 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14:paraId="347DA0B6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B376A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de-DE"/>
              </w:rPr>
            </w:pPr>
          </w:p>
        </w:tc>
      </w:tr>
      <w:tr w:rsidR="0015725F" w14:paraId="7D1CD079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58D17DB3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Revenue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2C44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83F30A8" w14:textId="28DA6706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2,141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4B8F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671A570" w14:textId="5C45B564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2,278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50E47029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66AFB0C1" w14:textId="4F5A4F43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-6.0</w:t>
            </w:r>
          </w:p>
        </w:tc>
      </w:tr>
      <w:tr w:rsidR="0015725F" w14:paraId="54E8D74F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5576B588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at constant currency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FABF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2D865126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D787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3D01CC7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61ECC3C0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531E8533" w14:textId="29FEB3E6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-1.8</w:t>
            </w:r>
          </w:p>
        </w:tc>
      </w:tr>
      <w:tr w:rsidR="0015725F" w14:paraId="5391A51C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398CD1E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EBIT before special items</w:t>
            </w:r>
            <w:r>
              <w:rPr>
                <w:rFonts w:ascii="Calibri" w:hAnsi="Calibri"/>
                <w:sz w:val="14"/>
                <w:vertAlign w:val="superscript"/>
              </w:rPr>
              <w:t>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9C17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10CDEDEF" w14:textId="0EC20B68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246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998E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3B68AB1D" w14:textId="3AF47B26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290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397938C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7A84CBF6" w14:textId="3E7A8CCE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-15.2</w:t>
            </w:r>
          </w:p>
        </w:tc>
      </w:tr>
      <w:tr w:rsidR="0015725F" w14:paraId="0832B7F6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8100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in % of revenue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4CEA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F7B76" w14:textId="5F7CB684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11.5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1829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BC2DF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 xml:space="preserve"> 12.7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BBFC717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5B4B8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</w:t>
            </w:r>
          </w:p>
        </w:tc>
      </w:tr>
      <w:tr w:rsidR="0015725F" w14:paraId="4C2A7159" w14:textId="77777777" w:rsidTr="00C527F8">
        <w:trPr>
          <w:trHeight w:val="300"/>
        </w:trPr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1CC805ED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Vehicle Lifetime Solutions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195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1A41B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76CE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76BE4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 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14:paraId="7882E65D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C6423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</w:tr>
      <w:tr w:rsidR="0015725F" w14:paraId="2A3A5CBC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134B4CF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Revenue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175E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BEE5759" w14:textId="7F56D1BA" w:rsidR="0015725F" w:rsidRDefault="00140E1A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801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E83F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786F768D" w14:textId="2EC2455B" w:rsidR="0015725F" w:rsidRDefault="00140E1A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813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6723EBDE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681C8C2C" w14:textId="31A0CF41" w:rsidR="0015725F" w:rsidRDefault="00140E1A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-1.5</w:t>
            </w:r>
          </w:p>
        </w:tc>
      </w:tr>
      <w:tr w:rsidR="0015725F" w14:paraId="40923743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1C046F97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at constant currency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BEC8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4F58F112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2777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0667D79A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58C6DA7A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5FB8689D" w14:textId="55D0D119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0.9</w:t>
            </w:r>
          </w:p>
        </w:tc>
      </w:tr>
      <w:tr w:rsidR="0015725F" w14:paraId="7B51E26C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445ED237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lastRenderedPageBreak/>
              <w:t>EBIT before special items</w:t>
            </w:r>
            <w:r>
              <w:rPr>
                <w:rFonts w:ascii="Calibri" w:hAnsi="Calibri"/>
                <w:sz w:val="14"/>
                <w:vertAlign w:val="superscript"/>
              </w:rPr>
              <w:t>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FC3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72D32EE7" w14:textId="6059284B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128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546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  <w:noWrap/>
            <w:vAlign w:val="center"/>
            <w:hideMark/>
          </w:tcPr>
          <w:p w14:paraId="6FA27A7D" w14:textId="58454F32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126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474203A6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707070"/>
              <w:right w:val="nil"/>
            </w:tcBorders>
          </w:tcPr>
          <w:p w14:paraId="4A92C30F" w14:textId="04D4FFC9" w:rsidR="0015725F" w:rsidRDefault="00140E1A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1.6</w:t>
            </w:r>
          </w:p>
        </w:tc>
      </w:tr>
      <w:tr w:rsidR="0015725F" w14:paraId="7EFE1985" w14:textId="77777777" w:rsidTr="00C527F8">
        <w:trPr>
          <w:trHeight w:val="300"/>
        </w:trPr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8507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• in % of revenue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E45347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5BA767" w14:textId="20B2B94E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15.9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3207BE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FB807" w14:textId="3B008E70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 xml:space="preserve"> 15.5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14:paraId="2D239A45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2059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</w:t>
            </w:r>
          </w:p>
        </w:tc>
      </w:tr>
      <w:tr w:rsidR="0015725F" w14:paraId="12686912" w14:textId="77777777" w:rsidTr="00C527F8">
        <w:trPr>
          <w:trHeight w:val="300"/>
        </w:trPr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878787" w:themeColor="accent1"/>
              <w:right w:val="nil"/>
            </w:tcBorders>
            <w:vAlign w:val="center"/>
          </w:tcPr>
          <w:p w14:paraId="7525FA13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z w:val="14"/>
              </w:rPr>
              <w:t>Bearings &amp; Industrial Solutions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F7A75C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3DC4305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4040569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9506AE1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4D211C7E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0A4EF70D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</w:tr>
      <w:tr w:rsidR="0015725F" w:rsidRPr="001722AD" w14:paraId="09882E46" w14:textId="77777777" w:rsidTr="00C527F8">
        <w:trPr>
          <w:trHeight w:val="300"/>
        </w:trPr>
        <w:tc>
          <w:tcPr>
            <w:tcW w:w="204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vAlign w:val="center"/>
          </w:tcPr>
          <w:p w14:paraId="4A93859F" w14:textId="77777777" w:rsidR="0015725F" w:rsidRPr="00C5648A" w:rsidRDefault="0015725F" w:rsidP="00C527F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Revenue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879F370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878787" w:themeColor="accent1"/>
              <w:right w:val="nil"/>
            </w:tcBorders>
            <w:noWrap/>
            <w:vAlign w:val="center"/>
          </w:tcPr>
          <w:p w14:paraId="197CDEE4" w14:textId="75A04B23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1,573</w:t>
            </w:r>
          </w:p>
        </w:tc>
        <w:tc>
          <w:tcPr>
            <w:tcW w:w="162" w:type="dxa"/>
            <w:tcBorders>
              <w:left w:val="nil"/>
              <w:right w:val="nil"/>
            </w:tcBorders>
            <w:noWrap/>
            <w:vAlign w:val="bottom"/>
          </w:tcPr>
          <w:p w14:paraId="667F8414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78787" w:themeColor="accent1"/>
              <w:right w:val="nil"/>
            </w:tcBorders>
            <w:noWrap/>
            <w:vAlign w:val="center"/>
          </w:tcPr>
          <w:p w14:paraId="44FAD665" w14:textId="667B944C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1,625</w:t>
            </w: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878787" w:themeColor="accent1"/>
              <w:right w:val="nil"/>
            </w:tcBorders>
          </w:tcPr>
          <w:p w14:paraId="65FFC671" w14:textId="77777777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78787" w:themeColor="accent1"/>
              <w:right w:val="nil"/>
            </w:tcBorders>
          </w:tcPr>
          <w:p w14:paraId="206CD084" w14:textId="55E3D460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-3.2</w:t>
            </w:r>
          </w:p>
        </w:tc>
      </w:tr>
      <w:tr w:rsidR="0015725F" w14:paraId="423A2C98" w14:textId="77777777" w:rsidTr="00C527F8">
        <w:trPr>
          <w:trHeight w:val="300"/>
        </w:trPr>
        <w:tc>
          <w:tcPr>
            <w:tcW w:w="204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vAlign w:val="center"/>
          </w:tcPr>
          <w:p w14:paraId="4863F07F" w14:textId="77777777" w:rsidR="0015725F" w:rsidRPr="00C5648A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2"/>
              </w:rPr>
              <w:t>•</w:t>
            </w:r>
            <w:r>
              <w:rPr>
                <w:rFonts w:ascii="Calibri" w:hAnsi="Calibri"/>
                <w:sz w:val="14"/>
              </w:rPr>
              <w:t xml:space="preserve"> </w:t>
            </w:r>
            <w:r>
              <w:rPr>
                <w:rFonts w:ascii="Calibri" w:hAnsi="Calibri"/>
                <w:sz w:val="12"/>
              </w:rPr>
              <w:t>at constant currency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D0E1366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noWrap/>
            <w:vAlign w:val="center"/>
          </w:tcPr>
          <w:p w14:paraId="600B1309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3E61816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noWrap/>
            <w:vAlign w:val="center"/>
          </w:tcPr>
          <w:p w14:paraId="4D36D956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4C3C8DCF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</w:tcPr>
          <w:p w14:paraId="4A1928AC" w14:textId="0A36635F" w:rsidR="0015725F" w:rsidRDefault="00140E1A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1.6</w:t>
            </w:r>
          </w:p>
        </w:tc>
      </w:tr>
      <w:tr w:rsidR="0015725F" w14:paraId="253412D8" w14:textId="77777777" w:rsidTr="00C527F8">
        <w:trPr>
          <w:trHeight w:val="300"/>
        </w:trPr>
        <w:tc>
          <w:tcPr>
            <w:tcW w:w="204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vAlign w:val="center"/>
          </w:tcPr>
          <w:p w14:paraId="4CCDA274" w14:textId="77777777" w:rsidR="0015725F" w:rsidRPr="00C5648A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4"/>
              </w:rPr>
              <w:t>EBIT before special items</w:t>
            </w:r>
            <w:r>
              <w:rPr>
                <w:rFonts w:ascii="Calibri" w:hAnsi="Calibri"/>
                <w:sz w:val="14"/>
                <w:vertAlign w:val="superscript"/>
              </w:rPr>
              <w:t>1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7DE10D0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noWrap/>
            <w:vAlign w:val="center"/>
          </w:tcPr>
          <w:p w14:paraId="6D37B8C7" w14:textId="7D937A51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4"/>
                <w:szCs w:val="14"/>
              </w:rPr>
            </w:pPr>
            <w:r>
              <w:rPr>
                <w:rFonts w:ascii="Calibri" w:hAnsi="Calibri"/>
                <w:color w:val="00B050"/>
                <w:sz w:val="14"/>
              </w:rPr>
              <w:t>142</w:t>
            </w:r>
          </w:p>
        </w:tc>
        <w:tc>
          <w:tcPr>
            <w:tcW w:w="162" w:type="dxa"/>
            <w:tcBorders>
              <w:left w:val="nil"/>
              <w:right w:val="nil"/>
            </w:tcBorders>
            <w:noWrap/>
            <w:vAlign w:val="bottom"/>
          </w:tcPr>
          <w:p w14:paraId="0DB8937F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  <w:noWrap/>
            <w:vAlign w:val="center"/>
          </w:tcPr>
          <w:p w14:paraId="7CFF2382" w14:textId="04A8DA15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162</w:t>
            </w: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63023127" w14:textId="77777777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8" w:space="0" w:color="878787" w:themeColor="accent1"/>
              <w:right w:val="nil"/>
            </w:tcBorders>
          </w:tcPr>
          <w:p w14:paraId="662499FB" w14:textId="603F0E27" w:rsidR="0015725F" w:rsidRPr="001722AD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</w:rPr>
              <w:t>-12.4</w:t>
            </w:r>
          </w:p>
        </w:tc>
      </w:tr>
      <w:tr w:rsidR="0015725F" w14:paraId="4F0713CD" w14:textId="77777777" w:rsidTr="00C527F8">
        <w:trPr>
          <w:trHeight w:val="300"/>
        </w:trPr>
        <w:tc>
          <w:tcPr>
            <w:tcW w:w="2047" w:type="dxa"/>
            <w:tcBorders>
              <w:top w:val="single" w:sz="8" w:space="0" w:color="878787" w:themeColor="accent1"/>
              <w:left w:val="nil"/>
              <w:bottom w:val="single" w:sz="4" w:space="0" w:color="auto"/>
              <w:right w:val="nil"/>
            </w:tcBorders>
            <w:vAlign w:val="center"/>
          </w:tcPr>
          <w:p w14:paraId="59C3A815" w14:textId="77777777" w:rsidR="0015725F" w:rsidRPr="00C5648A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12"/>
              </w:rPr>
              <w:t>• in % of revenue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140FA3" w14:textId="77777777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8AA2C" w14:textId="5CF44C99" w:rsidR="0015725F" w:rsidRDefault="00140E1A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z w:val="12"/>
              </w:rPr>
              <w:t>9.0</w:t>
            </w:r>
          </w:p>
        </w:tc>
        <w:tc>
          <w:tcPr>
            <w:tcW w:w="162" w:type="dxa"/>
            <w:tcBorders>
              <w:left w:val="nil"/>
              <w:right w:val="nil"/>
            </w:tcBorders>
            <w:noWrap/>
            <w:vAlign w:val="bottom"/>
          </w:tcPr>
          <w:p w14:paraId="5F95182C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B050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CD470B" w14:textId="0F51E6A6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10.0</w:t>
            </w: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5F2B62E3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de-DE"/>
              </w:rPr>
            </w:pPr>
          </w:p>
        </w:tc>
        <w:tc>
          <w:tcPr>
            <w:tcW w:w="1417" w:type="dxa"/>
            <w:tcBorders>
              <w:top w:val="single" w:sz="8" w:space="0" w:color="878787" w:themeColor="accent1"/>
              <w:left w:val="nil"/>
              <w:bottom w:val="single" w:sz="4" w:space="0" w:color="auto"/>
              <w:right w:val="nil"/>
            </w:tcBorders>
          </w:tcPr>
          <w:p w14:paraId="1E7D7BE7" w14:textId="77777777" w:rsidR="0015725F" w:rsidRDefault="0015725F" w:rsidP="00C527F8">
            <w:pPr>
              <w:spacing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-</w:t>
            </w:r>
          </w:p>
        </w:tc>
      </w:tr>
      <w:tr w:rsidR="0015725F" w14:paraId="63368EDB" w14:textId="77777777" w:rsidTr="00C527F8">
        <w:trPr>
          <w:trHeight w:val="300"/>
        </w:trPr>
        <w:tc>
          <w:tcPr>
            <w:tcW w:w="6785" w:type="dxa"/>
            <w:gridSpan w:val="7"/>
            <w:tcBorders>
              <w:left w:val="nil"/>
              <w:bottom w:val="nil"/>
              <w:right w:val="nil"/>
            </w:tcBorders>
          </w:tcPr>
          <w:p w14:paraId="5D8F72DE" w14:textId="1AEB4811" w:rsidR="0015725F" w:rsidRDefault="0015725F" w:rsidP="00C527F8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BE6658">
              <w:rPr>
                <w:rFonts w:ascii="Calibri" w:hAnsi="Calibri"/>
                <w:sz w:val="12"/>
                <w:vertAlign w:val="superscript"/>
              </w:rPr>
              <w:t>1</w:t>
            </w:r>
            <w:r>
              <w:rPr>
                <w:rFonts w:ascii="Calibri" w:hAnsi="Calibri"/>
                <w:sz w:val="12"/>
              </w:rPr>
              <w:t xml:space="preserve"> Please refer to the interim statement Q1 2026, pp. 9 et seq., for the definition of special items. </w:t>
            </w:r>
            <w:r>
              <w:rPr>
                <w:rFonts w:ascii="Calibri" w:hAnsi="Calibri"/>
                <w:sz w:val="12"/>
              </w:rPr>
              <w:br/>
            </w:r>
          </w:p>
        </w:tc>
      </w:tr>
    </w:tbl>
    <w:p w14:paraId="54D56D1E" w14:textId="77777777" w:rsidR="0015725F" w:rsidRDefault="0015725F" w:rsidP="00274B82"/>
    <w:p w14:paraId="537FAB4B" w14:textId="1DFB72B5" w:rsidR="007C52BC" w:rsidRPr="007C52BC" w:rsidRDefault="001A0D58" w:rsidP="007C52BC">
      <w:pPr>
        <w:rPr>
          <w:lang w:val="it-IT"/>
        </w:rPr>
      </w:pPr>
      <w:r w:rsidRPr="007C52BC">
        <w:rPr>
          <w:rStyle w:val="Enfasigrassetto"/>
          <w:lang w:val="it-IT"/>
        </w:rPr>
        <w:t xml:space="preserve">Free cash flow – </w:t>
      </w:r>
      <w:r w:rsidR="00554E28">
        <w:rPr>
          <w:rStyle w:val="Enfasigrassetto"/>
          <w:lang w:val="it-IT"/>
        </w:rPr>
        <w:t>Negativo dovuto a effetti stagionali</w:t>
      </w:r>
      <w:r w:rsidRPr="007C52BC">
        <w:rPr>
          <w:rStyle w:val="Enfasigrassetto"/>
          <w:lang w:val="it-IT"/>
        </w:rPr>
        <w:t xml:space="preserve"> </w:t>
      </w:r>
      <w:r w:rsidRPr="007C52BC">
        <w:rPr>
          <w:rStyle w:val="Enfasigrassetto"/>
          <w:lang w:val="it-IT"/>
        </w:rPr>
        <w:br/>
      </w:r>
      <w:r w:rsidR="007C52BC" w:rsidRPr="007C52BC">
        <w:rPr>
          <w:lang w:val="it-IT"/>
        </w:rPr>
        <w:t xml:space="preserve">Nel primo trimestre, il </w:t>
      </w:r>
      <w:r w:rsidR="007C52BC">
        <w:rPr>
          <w:lang w:val="it-IT"/>
        </w:rPr>
        <w:t>f</w:t>
      </w:r>
      <w:r w:rsidR="007C52BC" w:rsidRPr="007C52BC">
        <w:rPr>
          <w:lang w:val="it-IT"/>
        </w:rPr>
        <w:t xml:space="preserve">ree cash flow prima dei flussi di cassa per attività M&amp;A (fusioni e acquisizioni) del Gruppo Schaeffler è stato pari a </w:t>
      </w:r>
      <w:r w:rsidR="007C52BC">
        <w:rPr>
          <w:lang w:val="it-IT"/>
        </w:rPr>
        <w:t>-</w:t>
      </w:r>
      <w:r w:rsidR="007C52BC" w:rsidRPr="007C52BC">
        <w:rPr>
          <w:lang w:val="it-IT"/>
        </w:rPr>
        <w:t xml:space="preserve">209 milioni di euro (anno precedente: </w:t>
      </w:r>
      <w:r w:rsidR="007C52BC">
        <w:rPr>
          <w:lang w:val="it-IT"/>
        </w:rPr>
        <w:t>-</w:t>
      </w:r>
      <w:r w:rsidR="007C52BC" w:rsidRPr="007C52BC">
        <w:rPr>
          <w:lang w:val="it-IT"/>
        </w:rPr>
        <w:t>155 milioni di euro), principalmente per effetto di fattori stagionali. La politica mirata in materia di investimenti ha comportato investimenti in immobilizzazioni materiali, impianti e macchinari e attività immateriali (capex) pari a 237 milioni di euro nel primo trimestre 2026 (anno precedente: 250 milioni di euro).</w:t>
      </w:r>
    </w:p>
    <w:p w14:paraId="63DB346F" w14:textId="5F6382CD" w:rsidR="007C52BC" w:rsidRPr="007C52BC" w:rsidRDefault="007C52BC" w:rsidP="007C52BC">
      <w:pPr>
        <w:rPr>
          <w:lang w:val="it-IT"/>
        </w:rPr>
      </w:pPr>
      <w:r w:rsidRPr="007C52BC">
        <w:rPr>
          <w:lang w:val="it-IT"/>
        </w:rPr>
        <w:t xml:space="preserve">L’utile netto </w:t>
      </w:r>
      <w:r>
        <w:rPr>
          <w:lang w:val="it-IT"/>
        </w:rPr>
        <w:t>distribuibile</w:t>
      </w:r>
      <w:r w:rsidRPr="007C52BC">
        <w:rPr>
          <w:lang w:val="it-IT"/>
        </w:rPr>
        <w:t xml:space="preserve"> agli azionisti si è attestato a 60 milioni di euro. L’utile per azione è stato pari a 0,06 euro.</w:t>
      </w:r>
    </w:p>
    <w:p w14:paraId="6B777E82" w14:textId="6308DA35" w:rsidR="007C52BC" w:rsidRPr="007C52BC" w:rsidRDefault="007C52BC" w:rsidP="007C52BC">
      <w:pPr>
        <w:rPr>
          <w:lang w:val="it-IT"/>
        </w:rPr>
      </w:pPr>
      <w:r w:rsidRPr="007C52BC">
        <w:rPr>
          <w:lang w:val="it-IT"/>
        </w:rPr>
        <w:t xml:space="preserve">Al 31 marzo 2026, il Gruppo Schaeffler presentava un </w:t>
      </w:r>
      <w:r>
        <w:rPr>
          <w:lang w:val="it-IT"/>
        </w:rPr>
        <w:t>debito netto finanziario</w:t>
      </w:r>
      <w:r w:rsidRPr="007C52BC">
        <w:rPr>
          <w:lang w:val="it-IT"/>
        </w:rPr>
        <w:t xml:space="preserve"> pari a 5.143 milioni di euro (31 dicembre 2025: 4.915 milioni di euro). Il rapporto tra </w:t>
      </w:r>
      <w:r w:rsidR="00C652E3">
        <w:rPr>
          <w:lang w:val="it-IT"/>
        </w:rPr>
        <w:t>debito netto finanziario</w:t>
      </w:r>
      <w:r w:rsidRPr="007C52BC">
        <w:rPr>
          <w:lang w:val="it-IT"/>
        </w:rPr>
        <w:t xml:space="preserve"> ed EBITDA prima delle operazioni straordinarie era pari a 2,2 (31 dicembre 2025: 2,1). Il rapporto tra </w:t>
      </w:r>
      <w:r w:rsidR="00C652E3">
        <w:rPr>
          <w:lang w:val="it-IT"/>
        </w:rPr>
        <w:t>debito netto finanziario</w:t>
      </w:r>
      <w:r w:rsidRPr="007C52BC">
        <w:rPr>
          <w:lang w:val="it-IT"/>
        </w:rPr>
        <w:t xml:space="preserve"> e patrimonio netto (gearing ratio) si è attestato al 163,8</w:t>
      </w:r>
      <w:r>
        <w:rPr>
          <w:lang w:val="it-IT"/>
        </w:rPr>
        <w:t xml:space="preserve"> percento</w:t>
      </w:r>
      <w:r w:rsidRPr="007C52BC">
        <w:rPr>
          <w:lang w:val="it-IT"/>
        </w:rPr>
        <w:t>.</w:t>
      </w:r>
    </w:p>
    <w:p w14:paraId="5975D952" w14:textId="2F715702" w:rsidR="007C52BC" w:rsidRPr="007C52BC" w:rsidRDefault="007C52BC" w:rsidP="007C52BC">
      <w:pPr>
        <w:rPr>
          <w:lang w:val="it-IT"/>
        </w:rPr>
      </w:pPr>
      <w:r w:rsidRPr="007C52BC">
        <w:rPr>
          <w:lang w:val="it-IT"/>
        </w:rPr>
        <w:t xml:space="preserve">Alla data del 31 marzo 2026, il Gruppo Schaeffler registrava attività totali per 21.355 milioni di euro (31 dicembre 2025: 21.028 milioni di euro). Alla stessa data, </w:t>
      </w:r>
      <w:r>
        <w:rPr>
          <w:lang w:val="it-IT"/>
        </w:rPr>
        <w:t>l’azienda contava</w:t>
      </w:r>
      <w:r w:rsidRPr="007C52BC">
        <w:rPr>
          <w:lang w:val="it-IT"/>
        </w:rPr>
        <w:t xml:space="preserve"> 109.549 </w:t>
      </w:r>
      <w:r>
        <w:rPr>
          <w:lang w:val="it-IT"/>
        </w:rPr>
        <w:t>collaboratori in tutto il mondo</w:t>
      </w:r>
      <w:r w:rsidRPr="007C52BC">
        <w:rPr>
          <w:lang w:val="it-IT"/>
        </w:rPr>
        <w:t xml:space="preserve"> (31 dicembre 2025: 110.753 </w:t>
      </w:r>
      <w:r w:rsidR="00C652E3">
        <w:rPr>
          <w:lang w:val="it-IT"/>
        </w:rPr>
        <w:t>collaboratori</w:t>
      </w:r>
      <w:r w:rsidRPr="007C52BC">
        <w:rPr>
          <w:lang w:val="it-IT"/>
        </w:rPr>
        <w:t xml:space="preserve">). </w:t>
      </w:r>
    </w:p>
    <w:p w14:paraId="208C8419" w14:textId="35831FCF" w:rsidR="004733C8" w:rsidRPr="007C52BC" w:rsidRDefault="004733C8" w:rsidP="007C52BC">
      <w:pPr>
        <w:rPr>
          <w:lang w:val="it-IT"/>
        </w:rPr>
      </w:pPr>
      <w:r w:rsidRPr="007C52BC">
        <w:rPr>
          <w:lang w:val="it-IT"/>
        </w:rPr>
        <w:t>“</w:t>
      </w:r>
      <w:r w:rsidR="007C52BC" w:rsidRPr="007C52BC">
        <w:rPr>
          <w:lang w:val="it-IT"/>
        </w:rPr>
        <w:t xml:space="preserve">Nel primo trimestre, Schaeffler AG ha proseguito la propria performance operativa positiva e ha incrementato la redditività rispetto all’anno precedente. I principali fattori trainanti sono stati il miglioramento del margine trainato dai volumi nella </w:t>
      </w:r>
      <w:r w:rsidR="007C52BC">
        <w:rPr>
          <w:lang w:val="it-IT"/>
        </w:rPr>
        <w:t>D</w:t>
      </w:r>
      <w:r w:rsidR="007C52BC" w:rsidRPr="007C52BC">
        <w:rPr>
          <w:lang w:val="it-IT"/>
        </w:rPr>
        <w:t>ivisione E</w:t>
      </w:r>
      <w:r w:rsidR="007C52BC" w:rsidRPr="007C52BC">
        <w:rPr>
          <w:rFonts w:ascii="Cambria Math" w:hAnsi="Cambria Math" w:cs="Cambria Math"/>
          <w:lang w:val="it-IT"/>
        </w:rPr>
        <w:t>‑</w:t>
      </w:r>
      <w:r w:rsidR="007C52BC" w:rsidRPr="007C52BC">
        <w:rPr>
          <w:lang w:val="it-IT"/>
        </w:rPr>
        <w:t xml:space="preserve">Mobility e il continuo forte contributo delle </w:t>
      </w:r>
      <w:r w:rsidR="007C52BC">
        <w:rPr>
          <w:lang w:val="it-IT"/>
        </w:rPr>
        <w:t>D</w:t>
      </w:r>
      <w:r w:rsidR="007C52BC" w:rsidRPr="007C52BC">
        <w:rPr>
          <w:lang w:val="it-IT"/>
        </w:rPr>
        <w:t xml:space="preserve">ivisioni Vehicle Lifetime Solutions e Powertrain &amp; Chassis. Il margine della </w:t>
      </w:r>
      <w:r w:rsidR="007C52BC">
        <w:rPr>
          <w:lang w:val="it-IT"/>
        </w:rPr>
        <w:t>D</w:t>
      </w:r>
      <w:r w:rsidR="007C52BC" w:rsidRPr="007C52BC">
        <w:rPr>
          <w:lang w:val="it-IT"/>
        </w:rPr>
        <w:t xml:space="preserve">ivisione Bearings &amp; Industrial Solutions </w:t>
      </w:r>
      <w:r w:rsidR="007C52BC" w:rsidRPr="007C52BC">
        <w:rPr>
          <w:rFonts w:ascii="Calibri" w:hAnsi="Calibri" w:cs="Calibri"/>
          <w:lang w:val="it-IT"/>
        </w:rPr>
        <w:t>è</w:t>
      </w:r>
      <w:r w:rsidR="007C52BC" w:rsidRPr="007C52BC">
        <w:rPr>
          <w:lang w:val="it-IT"/>
        </w:rPr>
        <w:t xml:space="preserve"> stato in linea con le nostre aspettative a seguito dell</w:t>
      </w:r>
      <w:r w:rsidR="007C52BC" w:rsidRPr="007C52BC">
        <w:rPr>
          <w:rFonts w:ascii="Calibri" w:hAnsi="Calibri" w:cs="Calibri"/>
          <w:lang w:val="it-IT"/>
        </w:rPr>
        <w:t>’</w:t>
      </w:r>
      <w:r w:rsidR="007C52BC" w:rsidRPr="007C52BC">
        <w:rPr>
          <w:lang w:val="it-IT"/>
        </w:rPr>
        <w:t>implementazione della maggior parte delle misure strutturali. Continueremo a gestire con attenzione gli investimenti e ad aumentare il free cash flow nel corso dell’esercizio</w:t>
      </w:r>
      <w:r w:rsidRPr="007C52BC">
        <w:rPr>
          <w:lang w:val="it-IT"/>
        </w:rPr>
        <w:t xml:space="preserve">,” </w:t>
      </w:r>
      <w:r w:rsidR="007C52BC">
        <w:rPr>
          <w:lang w:val="it-IT"/>
        </w:rPr>
        <w:t>ha dichiarato</w:t>
      </w:r>
      <w:r w:rsidRPr="007C52BC">
        <w:rPr>
          <w:lang w:val="it-IT"/>
        </w:rPr>
        <w:t xml:space="preserve"> Christophe Hannequin, CFO </w:t>
      </w:r>
      <w:r w:rsidR="007C52BC">
        <w:rPr>
          <w:lang w:val="it-IT"/>
        </w:rPr>
        <w:t>di</w:t>
      </w:r>
      <w:r w:rsidRPr="007C52BC">
        <w:rPr>
          <w:lang w:val="it-IT"/>
        </w:rPr>
        <w:t xml:space="preserve"> Schaeffler AG.</w:t>
      </w:r>
    </w:p>
    <w:p w14:paraId="32E5B2F6" w14:textId="77777777" w:rsidR="003F7108" w:rsidRPr="003F7108" w:rsidRDefault="00EE1A00" w:rsidP="003F7108">
      <w:pPr>
        <w:rPr>
          <w:lang w:val="it-IT"/>
        </w:rPr>
      </w:pPr>
      <w:r w:rsidRPr="003F7108">
        <w:rPr>
          <w:rStyle w:val="Enfasigrassetto"/>
          <w:lang w:val="it-IT"/>
        </w:rPr>
        <w:t xml:space="preserve">Outlook – </w:t>
      </w:r>
      <w:r w:rsidR="003F7108" w:rsidRPr="003F7108">
        <w:rPr>
          <w:rStyle w:val="Enfasigrassetto"/>
          <w:lang w:val="it-IT"/>
        </w:rPr>
        <w:t>Previsione confermata</w:t>
      </w:r>
      <w:r w:rsidRPr="003F7108">
        <w:rPr>
          <w:lang w:val="it-IT"/>
        </w:rPr>
        <w:br/>
      </w:r>
      <w:r w:rsidR="003F7108" w:rsidRPr="003F7108">
        <w:rPr>
          <w:lang w:val="it-IT"/>
        </w:rPr>
        <w:t xml:space="preserve">Nella riunione del 27 aprile 2026, il Consiglio di Amministrazione di Schaeffler AG </w:t>
      </w:r>
      <w:r w:rsidR="003F7108" w:rsidRPr="003F7108">
        <w:rPr>
          <w:lang w:val="it-IT"/>
        </w:rPr>
        <w:lastRenderedPageBreak/>
        <w:t>ha confermato l’outlook comunicato il 24 febbraio 2026, tenendo conto dell’attuale situazione legata al conflitto in Medio Oriente.</w:t>
      </w:r>
    </w:p>
    <w:p w14:paraId="310F6268" w14:textId="4B4A5B2A" w:rsidR="003F7108" w:rsidRPr="003F7108" w:rsidRDefault="003F7108" w:rsidP="003F7108">
      <w:pPr>
        <w:rPr>
          <w:lang w:val="it-IT"/>
        </w:rPr>
      </w:pPr>
      <w:r w:rsidRPr="003F7108">
        <w:rPr>
          <w:lang w:val="it-IT"/>
        </w:rPr>
        <w:t xml:space="preserve">Il Gruppo Schaeffler continua a prevedere per il 2026 un fatturato compreso in un </w:t>
      </w:r>
      <w:r w:rsidR="00554E28">
        <w:rPr>
          <w:lang w:val="it-IT"/>
        </w:rPr>
        <w:t>range</w:t>
      </w:r>
      <w:r w:rsidRPr="003F7108">
        <w:rPr>
          <w:lang w:val="it-IT"/>
        </w:rPr>
        <w:t xml:space="preserve"> tra circa 22,5 e 24,5 miliardi di euro. Ciò corrisponde a una variazione del fatturato al netto degli effetti di cambio compresa tra </w:t>
      </w:r>
      <w:r>
        <w:rPr>
          <w:lang w:val="it-IT"/>
        </w:rPr>
        <w:t>-</w:t>
      </w:r>
      <w:r w:rsidRPr="003F7108">
        <w:rPr>
          <w:lang w:val="it-IT"/>
        </w:rPr>
        <w:t>4,3</w:t>
      </w:r>
      <w:r>
        <w:rPr>
          <w:lang w:val="it-IT"/>
        </w:rPr>
        <w:t xml:space="preserve"> percento</w:t>
      </w:r>
      <w:r w:rsidRPr="003F7108">
        <w:rPr>
          <w:lang w:val="it-IT"/>
        </w:rPr>
        <w:t xml:space="preserve"> e +4,3</w:t>
      </w:r>
      <w:r>
        <w:rPr>
          <w:lang w:val="it-IT"/>
        </w:rPr>
        <w:t xml:space="preserve"> percento</w:t>
      </w:r>
      <w:r w:rsidRPr="003F7108">
        <w:rPr>
          <w:lang w:val="it-IT"/>
        </w:rPr>
        <w:t>.</w:t>
      </w:r>
    </w:p>
    <w:p w14:paraId="6163951D" w14:textId="39412F0E" w:rsidR="001A0D58" w:rsidRPr="003F7108" w:rsidRDefault="003F7108" w:rsidP="003F7108">
      <w:pPr>
        <w:rPr>
          <w:lang w:val="it-IT"/>
        </w:rPr>
      </w:pPr>
      <w:r>
        <w:rPr>
          <w:lang w:val="it-IT"/>
        </w:rPr>
        <w:t>Su questa base,</w:t>
      </w:r>
      <w:r w:rsidRPr="003F7108">
        <w:rPr>
          <w:lang w:val="it-IT"/>
        </w:rPr>
        <w:t xml:space="preserve"> la società prevede di conseguire per il 2026 un Margine EBIT prima delle operazioni straordinarie compreso tra il 3,5</w:t>
      </w:r>
      <w:r>
        <w:rPr>
          <w:lang w:val="it-IT"/>
        </w:rPr>
        <w:t xml:space="preserve"> percento</w:t>
      </w:r>
      <w:r w:rsidRPr="003F7108">
        <w:rPr>
          <w:lang w:val="it-IT"/>
        </w:rPr>
        <w:t xml:space="preserve"> e il 5,5</w:t>
      </w:r>
      <w:r>
        <w:rPr>
          <w:lang w:val="it-IT"/>
        </w:rPr>
        <w:t xml:space="preserve"> percento</w:t>
      </w:r>
      <w:r w:rsidRPr="003F7108">
        <w:rPr>
          <w:lang w:val="it-IT"/>
        </w:rPr>
        <w:t xml:space="preserve">. Il </w:t>
      </w:r>
      <w:r>
        <w:rPr>
          <w:lang w:val="it-IT"/>
        </w:rPr>
        <w:t>f</w:t>
      </w:r>
      <w:r w:rsidRPr="003F7108">
        <w:rPr>
          <w:lang w:val="it-IT"/>
        </w:rPr>
        <w:t>ree cash flow prima dei flussi di cassa per attività M&amp;A (fusioni e acquisizioni) è atteso in un intervallo compreso tra 100 e 300 milioni di euro</w:t>
      </w:r>
      <w:r w:rsidR="00C17ACA" w:rsidRPr="003F7108">
        <w:rPr>
          <w:lang w:val="it-IT"/>
        </w:rPr>
        <w:t xml:space="preserve">. </w:t>
      </w:r>
    </w:p>
    <w:p w14:paraId="64D46E13" w14:textId="77777777" w:rsidR="00FA1992" w:rsidRPr="003F7108" w:rsidRDefault="00FA1992" w:rsidP="00274B82">
      <w:pPr>
        <w:rPr>
          <w:lang w:val="it-IT"/>
        </w:rPr>
      </w:pPr>
    </w:p>
    <w:p w14:paraId="5ABE7F5A" w14:textId="77777777" w:rsidR="00FA1992" w:rsidRPr="003F7108" w:rsidRDefault="00FA1992" w:rsidP="00274B82">
      <w:pPr>
        <w:rPr>
          <w:lang w:val="it-IT"/>
        </w:rPr>
      </w:pPr>
    </w:p>
    <w:tbl>
      <w:tblPr>
        <w:tblpPr w:leftFromText="141" w:rightFromText="141" w:vertAnchor="text" w:horzAnchor="margin" w:tblpY="287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855"/>
        <w:gridCol w:w="1263"/>
        <w:gridCol w:w="1134"/>
        <w:gridCol w:w="1276"/>
        <w:gridCol w:w="1417"/>
      </w:tblGrid>
      <w:tr w:rsidR="00EE1A00" w:rsidRPr="00B21AC1" w14:paraId="793507CD" w14:textId="77777777" w:rsidTr="00EE1A00">
        <w:trPr>
          <w:trHeight w:val="49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E1F8D76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Outlook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7B82DA81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Schaeffler Group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6605839E" w14:textId="77777777" w:rsidR="00EE1A00" w:rsidRPr="00B21AC1" w:rsidDel="00D476AE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sz w:val="16"/>
                <w:szCs w:val="18"/>
              </w:rPr>
            </w:pPr>
            <w:r>
              <w:rPr>
                <w:rFonts w:ascii="Calibri" w:hAnsi="Calibri"/>
                <w:b/>
                <w:sz w:val="16"/>
              </w:rPr>
              <w:t xml:space="preserve">E-Mobility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972EDE" w14:textId="77777777" w:rsidR="00EE1A00" w:rsidRPr="00B21AC1" w:rsidDel="00D476AE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sz w:val="16"/>
                <w:szCs w:val="18"/>
              </w:rPr>
            </w:pPr>
            <w:r>
              <w:rPr>
                <w:rFonts w:ascii="Calibri" w:hAnsi="Calibri"/>
                <w:b/>
                <w:sz w:val="16"/>
              </w:rPr>
              <w:t xml:space="preserve">Powertrain </w:t>
            </w:r>
            <w:r>
              <w:rPr>
                <w:rFonts w:ascii="Calibri" w:hAnsi="Calibri"/>
                <w:b/>
                <w:sz w:val="16"/>
              </w:rPr>
              <w:br/>
              <w:t xml:space="preserve">&amp; Chassis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EDFF1F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sz w:val="16"/>
                <w:szCs w:val="18"/>
              </w:rPr>
            </w:pPr>
            <w:r>
              <w:rPr>
                <w:rFonts w:ascii="Calibri" w:hAnsi="Calibri"/>
                <w:b/>
                <w:sz w:val="16"/>
              </w:rPr>
              <w:t>Vehicle Lifetime Solutions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612780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sz w:val="16"/>
                <w:szCs w:val="18"/>
              </w:rPr>
            </w:pPr>
            <w:r>
              <w:rPr>
                <w:rFonts w:ascii="Calibri" w:hAnsi="Calibri"/>
                <w:b/>
                <w:sz w:val="16"/>
              </w:rPr>
              <w:t xml:space="preserve">Bearings &amp; </w:t>
            </w:r>
            <w:r>
              <w:rPr>
                <w:rFonts w:ascii="Calibri" w:hAnsi="Calibri"/>
                <w:b/>
                <w:sz w:val="16"/>
              </w:rPr>
              <w:br/>
              <w:t>Industrial Solutions</w:t>
            </w:r>
          </w:p>
        </w:tc>
      </w:tr>
      <w:tr w:rsidR="00EE1A00" w:rsidRPr="00B21AC1" w14:paraId="361A4082" w14:textId="77777777" w:rsidTr="00EE1A00">
        <w:trPr>
          <w:trHeight w:val="49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2794D6B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Style w:val="Rimandonotaapidipagina"/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Revenue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029BC4C9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22.5 to 24.5 </w:t>
            </w:r>
            <w:r>
              <w:rPr>
                <w:rFonts w:ascii="Calibri" w:hAnsi="Calibri"/>
                <w:sz w:val="16"/>
              </w:rPr>
              <w:br/>
              <w:t>billion euros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CD90E5E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5.2 to 5.8 </w:t>
            </w:r>
            <w:r>
              <w:rPr>
                <w:rFonts w:ascii="Calibri" w:hAnsi="Calibri"/>
                <w:sz w:val="16"/>
              </w:rPr>
              <w:br/>
              <w:t>billion euros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08F13B" w14:textId="495B186A" w:rsidR="00EE1A00" w:rsidRPr="00B21AC1" w:rsidRDefault="00EE1A00" w:rsidP="00EE1A00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8.0 to 8.6 </w:t>
            </w:r>
            <w:r>
              <w:rPr>
                <w:rFonts w:ascii="Calibri" w:hAnsi="Calibri"/>
                <w:sz w:val="16"/>
              </w:rPr>
              <w:br/>
              <w:t>billion euros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B2266" w14:textId="46C4709A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3.1 to 3.3 </w:t>
            </w:r>
            <w:r>
              <w:rPr>
                <w:rFonts w:ascii="Calibri" w:hAnsi="Calibri"/>
                <w:sz w:val="16"/>
              </w:rPr>
              <w:br/>
              <w:t>billion euros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038536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6.2 to 6.7 </w:t>
            </w:r>
            <w:r>
              <w:rPr>
                <w:rFonts w:ascii="Calibri" w:hAnsi="Calibri"/>
                <w:sz w:val="16"/>
              </w:rPr>
              <w:br/>
              <w:t>billion euros</w:t>
            </w:r>
          </w:p>
        </w:tc>
      </w:tr>
      <w:tr w:rsidR="00EE1A00" w:rsidRPr="00B21AC1" w14:paraId="3C822C01" w14:textId="77777777" w:rsidTr="00EE1A00">
        <w:trPr>
          <w:trHeight w:val="49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829978A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EBIT </w:t>
            </w:r>
            <w:r>
              <w:br/>
            </w:r>
            <w:r>
              <w:rPr>
                <w:rFonts w:ascii="Calibri" w:hAnsi="Calibri"/>
                <w:b/>
                <w:sz w:val="16"/>
              </w:rPr>
              <w:t>margin</w:t>
            </w:r>
            <w:r>
              <w:rPr>
                <w:rStyle w:val="Rimandonotaapidipagina"/>
                <w:sz w:val="16"/>
              </w:rPr>
              <w:t>1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5EA75A94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3.5 to 5.5%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54ACA9D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8"/>
              </w:rPr>
            </w:pPr>
            <w:r>
              <w:rPr>
                <w:rFonts w:ascii="Calibri" w:hAnsi="Calibri"/>
                <w:sz w:val="16"/>
              </w:rPr>
              <w:t>-15.0 to -13.0%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4BC3A0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8"/>
              </w:rPr>
            </w:pPr>
            <w:r>
              <w:rPr>
                <w:rFonts w:ascii="Calibri" w:hAnsi="Calibri"/>
                <w:sz w:val="16"/>
              </w:rPr>
              <w:t>10.0 to 12.0%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C9BC1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8"/>
              </w:rPr>
            </w:pPr>
            <w:r>
              <w:rPr>
                <w:rFonts w:ascii="Calibri" w:hAnsi="Calibri"/>
                <w:sz w:val="16"/>
              </w:rPr>
              <w:t>13.5 to 15.5%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1011A9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8"/>
              </w:rPr>
            </w:pPr>
            <w:r>
              <w:rPr>
                <w:rFonts w:ascii="Calibri" w:hAnsi="Calibri"/>
                <w:sz w:val="16"/>
              </w:rPr>
              <w:t>7.0 to 9.0%</w:t>
            </w:r>
          </w:p>
        </w:tc>
      </w:tr>
      <w:tr w:rsidR="00EE1A00" w:rsidRPr="00B21AC1" w14:paraId="17BE91AB" w14:textId="77777777" w:rsidTr="00EE1A00">
        <w:trPr>
          <w:gridAfter w:val="4"/>
          <w:wAfter w:w="5090" w:type="dxa"/>
          <w:trHeight w:val="499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EF143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Free </w:t>
            </w:r>
            <w:r>
              <w:br/>
            </w:r>
            <w:r>
              <w:rPr>
                <w:rFonts w:ascii="Calibri" w:hAnsi="Calibri"/>
                <w:b/>
                <w:sz w:val="16"/>
              </w:rPr>
              <w:t>cash flow</w:t>
            </w:r>
            <w:r>
              <w:rPr>
                <w:rStyle w:val="Rimandonotaapidipagina"/>
                <w:sz w:val="16"/>
              </w:rPr>
              <w:t>2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A7B72" w14:textId="77777777" w:rsidR="00EE1A00" w:rsidRPr="00B21AC1" w:rsidRDefault="00EE1A00" w:rsidP="00C527F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100 to 300 </w:t>
            </w:r>
            <w:r>
              <w:rPr>
                <w:rFonts w:ascii="Calibri" w:hAnsi="Calibri"/>
                <w:sz w:val="16"/>
              </w:rPr>
              <w:br/>
              <w:t xml:space="preserve">million euros </w:t>
            </w:r>
          </w:p>
        </w:tc>
      </w:tr>
      <w:tr w:rsidR="00EE1A00" w:rsidRPr="00731302" w14:paraId="0A0778CF" w14:textId="77777777" w:rsidTr="00EE1A00">
        <w:trPr>
          <w:gridAfter w:val="4"/>
          <w:wAfter w:w="5090" w:type="dxa"/>
          <w:trHeight w:val="565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E70B04" w14:textId="77777777" w:rsidR="00EE1A00" w:rsidRPr="00B21AC1" w:rsidRDefault="00EE1A00" w:rsidP="00C527F8">
            <w:pPr>
              <w:pStyle w:val="Testonotaapidipagina"/>
              <w:rPr>
                <w:sz w:val="12"/>
                <w:szCs w:val="12"/>
              </w:rPr>
            </w:pPr>
            <w:r>
              <w:rPr>
                <w:sz w:val="12"/>
                <w:vertAlign w:val="superscript"/>
              </w:rPr>
              <w:t>1</w:t>
            </w:r>
            <w:r>
              <w:rPr>
                <w:sz w:val="12"/>
              </w:rPr>
              <w:t xml:space="preserve"> Before special items</w:t>
            </w:r>
          </w:p>
          <w:p w14:paraId="2E9E4D47" w14:textId="77777777" w:rsidR="00EE1A00" w:rsidRPr="00B21AC1" w:rsidRDefault="00EE1A00" w:rsidP="00C527F8">
            <w:pPr>
              <w:pStyle w:val="Testonotaapidipagina"/>
            </w:pPr>
            <w:r>
              <w:rPr>
                <w:sz w:val="12"/>
                <w:vertAlign w:val="superscript"/>
              </w:rPr>
              <w:t>2</w:t>
            </w:r>
            <w:r>
              <w:rPr>
                <w:sz w:val="12"/>
              </w:rPr>
              <w:t xml:space="preserve"> Before cash in- and outflows for M&amp;A activities</w:t>
            </w:r>
          </w:p>
        </w:tc>
      </w:tr>
    </w:tbl>
    <w:p w14:paraId="66CE6F96" w14:textId="77777777" w:rsidR="00A7419D" w:rsidRPr="00EE1A00" w:rsidRDefault="00A7419D" w:rsidP="00B13126"/>
    <w:p w14:paraId="1F1EAAF0" w14:textId="62D3925C" w:rsidR="00623769" w:rsidRPr="003F7108" w:rsidRDefault="003F7108" w:rsidP="004733C8">
      <w:pPr>
        <w:rPr>
          <w:lang w:val="it-IT"/>
        </w:rPr>
      </w:pPr>
      <w:r w:rsidRPr="003F7108">
        <w:rPr>
          <w:lang w:val="it-IT"/>
        </w:rPr>
        <w:t>Le foto dei componenti del Consiglio di Amministrazione</w:t>
      </w:r>
      <w:r>
        <w:rPr>
          <w:lang w:val="it-IT"/>
        </w:rPr>
        <w:t xml:space="preserve"> </w:t>
      </w:r>
      <w:r w:rsidRPr="003F7108">
        <w:rPr>
          <w:lang w:val="it-IT"/>
        </w:rPr>
        <w:t>sono disponibili qu</w:t>
      </w:r>
      <w:r>
        <w:rPr>
          <w:lang w:val="it-IT"/>
        </w:rPr>
        <w:t>i</w:t>
      </w:r>
      <w:r w:rsidR="004733C8" w:rsidRPr="003F7108">
        <w:rPr>
          <w:lang w:val="it-IT"/>
        </w:rPr>
        <w:t xml:space="preserve">: </w:t>
      </w:r>
      <w:hyperlink r:id="rId11" w:tgtFrame="_blank" w:history="1">
        <w:r w:rsidR="00623769" w:rsidRPr="003F7108">
          <w:rPr>
            <w:rStyle w:val="Collegamentoipertestuale"/>
            <w:lang w:val="it-IT"/>
          </w:rPr>
          <w:t>www.schaeffler.com/en/group/executive-board</w:t>
        </w:r>
      </w:hyperlink>
    </w:p>
    <w:p w14:paraId="1B785AC5" w14:textId="77777777" w:rsidR="00B13126" w:rsidRPr="003F7108" w:rsidRDefault="00B13126" w:rsidP="00F453D9">
      <w:pPr>
        <w:ind w:left="227" w:hanging="227"/>
        <w:rPr>
          <w:lang w:val="it-IT"/>
        </w:rPr>
      </w:pPr>
    </w:p>
    <w:p w14:paraId="2E80BD88" w14:textId="77777777" w:rsidR="003F7108" w:rsidRPr="00310B07" w:rsidRDefault="003F7108" w:rsidP="003F7108">
      <w:pPr>
        <w:pStyle w:val="Hinweis"/>
        <w:rPr>
          <w:lang w:val="it-IT"/>
        </w:rPr>
      </w:pPr>
      <w:r w:rsidRPr="00310B07">
        <w:rPr>
          <w:b/>
          <w:bCs/>
          <w:lang w:val="it-IT"/>
        </w:rPr>
        <w:lastRenderedPageBreak/>
        <w:t>Dichiarazioni e proiezioni previsionali</w:t>
      </w:r>
    </w:p>
    <w:p w14:paraId="1BF3D723" w14:textId="77777777" w:rsidR="003F7108" w:rsidRPr="00FF23BF" w:rsidRDefault="003F7108" w:rsidP="003F7108">
      <w:pPr>
        <w:pStyle w:val="Hinweis"/>
        <w:rPr>
          <w:lang w:val="it-IT"/>
        </w:rPr>
      </w:pPr>
      <w:r w:rsidRPr="00FF23BF">
        <w:rPr>
          <w:lang w:val="it-IT"/>
        </w:rPr>
        <w:t>Alcune affermazioni contenute in questo comunicato stampa costituiscono dichiarazioni previsionali. Per loro natura, tali dichiarazioni comportano rischi, incertezze e ipotesi che possono far sì che risultati o eventi effettivi differiscano in modo significativo da quanto espresso o suggerito. Questi fattori potrebbero incidere negativamente sugli esiti e sulle conseguenze finanziarie dei piani e degli eventi descritti.</w:t>
      </w:r>
    </w:p>
    <w:p w14:paraId="74910D30" w14:textId="77777777" w:rsidR="003F7108" w:rsidRPr="00FF23BF" w:rsidRDefault="003F7108" w:rsidP="003F7108">
      <w:pPr>
        <w:pStyle w:val="Hinweis"/>
        <w:rPr>
          <w:lang w:val="it-IT"/>
        </w:rPr>
      </w:pPr>
      <w:r w:rsidRPr="00FF23BF">
        <w:rPr>
          <w:lang w:val="it-IT"/>
        </w:rPr>
        <w:t>Nessuna parte si assume l’obbligo di aggiornare o modificare pubblicamente le dichiarazioni previsionali, sia in seguito a nuove informazioni, eventi futuri o altro. Si invita pertanto a non fare eccessivo affidamento su tali dichiarazioni, che riflettono la situazione alla sola data di pubblicazione del comunicato.</w:t>
      </w:r>
    </w:p>
    <w:p w14:paraId="16246D88" w14:textId="7BB3E278" w:rsidR="009031C8" w:rsidRPr="003F7108" w:rsidRDefault="003F7108" w:rsidP="003F7108">
      <w:pPr>
        <w:pStyle w:val="Hinweis"/>
        <w:rPr>
          <w:lang w:val="it-IT"/>
        </w:rPr>
      </w:pPr>
      <w:r w:rsidRPr="00FF23BF">
        <w:rPr>
          <w:lang w:val="it-IT"/>
        </w:rPr>
        <w:t>Le affermazioni relative a tendenze o eventi passati non devono essere interpretate come garanzia che tali tendenze o eventi si ripeteranno. Le dichiarazioni cautelative sopra riportate devono essere considerate insieme a qualsiasi successiva dichiarazione previsionale, scritta o orale, rilasciata da Schaeffler o da persone autorizzate a parlare per suo conto</w:t>
      </w:r>
      <w:r w:rsidR="009031C8" w:rsidRPr="003F7108">
        <w:rPr>
          <w:lang w:val="it-IT"/>
        </w:rPr>
        <w:t>.</w:t>
      </w:r>
    </w:p>
    <w:p w14:paraId="0E8AAAF7" w14:textId="77777777" w:rsidR="009031C8" w:rsidRPr="003F7108" w:rsidRDefault="009031C8" w:rsidP="009031C8">
      <w:pPr>
        <w:pStyle w:val="Hinweis"/>
        <w:rPr>
          <w:lang w:val="it-IT"/>
        </w:rPr>
      </w:pPr>
    </w:p>
    <w:p w14:paraId="78CD6DD0" w14:textId="77777777" w:rsidR="009031C8" w:rsidRPr="003F7108" w:rsidRDefault="009031C8" w:rsidP="009031C8">
      <w:pPr>
        <w:pStyle w:val="Hinweis"/>
        <w:rPr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30E29" wp14:editId="70E2EF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0F4A4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45B59134" w14:textId="77777777" w:rsidR="003F7108" w:rsidRPr="00E22E07" w:rsidRDefault="003F7108" w:rsidP="003F7108">
      <w:pPr>
        <w:pStyle w:val="Hinweis"/>
        <w:rPr>
          <w:rFonts w:asciiTheme="minorHAnsi" w:hAnsiTheme="minorHAnsi"/>
          <w:b/>
          <w:bCs/>
          <w:lang w:val="it-IT"/>
        </w:rPr>
      </w:pPr>
      <w:bookmarkStart w:id="1" w:name="_Hlk179898981"/>
      <w:r w:rsidRPr="00E22E07">
        <w:rPr>
          <w:rFonts w:asciiTheme="minorHAnsi" w:hAnsiTheme="minorHAnsi"/>
          <w:b/>
          <w:lang w:val="it-IT"/>
        </w:rPr>
        <w:t>Gruppo Schaeffler – We pioneer motion</w:t>
      </w:r>
    </w:p>
    <w:p w14:paraId="61904E0E" w14:textId="77777777" w:rsidR="003F7108" w:rsidRPr="005F73AB" w:rsidRDefault="003F7108" w:rsidP="003F7108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</w:t>
      </w:r>
      <w:r>
        <w:rPr>
          <w:b w:val="0"/>
          <w:lang w:val="it-IT"/>
        </w:rPr>
        <w:t>80</w:t>
      </w:r>
      <w:r w:rsidRPr="005F73AB">
        <w:rPr>
          <w:b w:val="0"/>
          <w:lang w:val="it-IT"/>
        </w:rPr>
        <w:t xml:space="preserve">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737577FC" w14:textId="76B7F449" w:rsidR="0037142E" w:rsidRPr="003F7108" w:rsidRDefault="003F7108" w:rsidP="0037142E">
      <w:pPr>
        <w:pStyle w:val="Hinweis"/>
        <w:rPr>
          <w:lang w:val="it-IT"/>
        </w:rPr>
      </w:pPr>
      <w:r w:rsidRPr="005F73AB">
        <w:rPr>
          <w:lang w:val="it-IT"/>
        </w:rPr>
        <w:t>Schaeffler articola la sua</w:t>
      </w:r>
      <w:r w:rsidRPr="002B59CC">
        <w:rPr>
          <w:lang w:val="it-IT"/>
        </w:rPr>
        <w:t xml:space="preserve"> ampia</w:t>
      </w:r>
      <w:r w:rsidRPr="005F73AB">
        <w:rPr>
          <w:lang w:val="it-IT"/>
        </w:rPr>
        <w:t xml:space="preserve"> offerta in otto famiglie di prodotti che spaziano dalle soluzioni di cuscinetti e dai sistemi di guida lineare a servizi di riparazione e monitoraggio. Con circa 110.000 </w:t>
      </w:r>
      <w:r w:rsidRPr="002B59CC">
        <w:rPr>
          <w:lang w:val="it-IT"/>
        </w:rPr>
        <w:t xml:space="preserve">collaboratori </w:t>
      </w:r>
      <w:r w:rsidRPr="005F73AB">
        <w:rPr>
          <w:lang w:val="it-IT"/>
        </w:rPr>
        <w:t xml:space="preserve">e oltre 250 sedi in 55 Paesi, il Gruppo è una delle maggiori aziende </w:t>
      </w:r>
      <w:r w:rsidRPr="002B59CC">
        <w:rPr>
          <w:lang w:val="it-IT"/>
        </w:rPr>
        <w:t>familiari</w:t>
      </w:r>
      <w:r w:rsidRPr="005F73AB">
        <w:rPr>
          <w:lang w:val="it-IT"/>
        </w:rPr>
        <w:t xml:space="preserve"> al mondo e figura tra le realtà più innovative della Germania</w:t>
      </w:r>
      <w:bookmarkEnd w:id="1"/>
      <w:r w:rsidR="0037142E" w:rsidRPr="003F7108">
        <w:rPr>
          <w:rFonts w:asciiTheme="minorHAnsi" w:hAnsiTheme="minorHAnsi"/>
          <w:lang w:val="it-IT"/>
        </w:rPr>
        <w:t>.</w:t>
      </w:r>
      <w:r w:rsidR="0037142E" w:rsidRPr="003F7108">
        <w:rPr>
          <w:rFonts w:asciiTheme="minorHAnsi" w:hAnsiTheme="minorHAnsi"/>
          <w:lang w:val="it-IT"/>
        </w:rPr>
        <w:cr/>
      </w:r>
    </w:p>
    <w:p w14:paraId="7C8901F8" w14:textId="77777777" w:rsidR="0037142E" w:rsidRPr="003F7108" w:rsidRDefault="0037142E" w:rsidP="0037142E">
      <w:pPr>
        <w:pStyle w:val="Hinweis"/>
        <w:rPr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22EB7" wp14:editId="6AC6E3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64859"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2F1D7803" w14:textId="77777777" w:rsidR="0037142E" w:rsidRPr="003F7108" w:rsidRDefault="0037142E" w:rsidP="0037142E">
      <w:pPr>
        <w:spacing w:before="0"/>
        <w:rPr>
          <w:rStyle w:val="Enfasigrassetto"/>
          <w:lang w:val="it-IT"/>
        </w:rPr>
      </w:pPr>
    </w:p>
    <w:p w14:paraId="2E8161B9" w14:textId="59E7D3D0" w:rsidR="0037142E" w:rsidRPr="003F7108" w:rsidRDefault="0037142E" w:rsidP="0037142E">
      <w:pPr>
        <w:spacing w:before="0"/>
        <w:rPr>
          <w:rStyle w:val="Enfasigrassetto"/>
          <w:lang w:val="it-IT"/>
        </w:rPr>
      </w:pPr>
      <w:r w:rsidRPr="003F7108">
        <w:rPr>
          <w:rStyle w:val="Enfasigrassetto"/>
          <w:lang w:val="it-IT"/>
        </w:rPr>
        <w:t>Conta</w:t>
      </w:r>
      <w:r w:rsidR="003F7108">
        <w:rPr>
          <w:rStyle w:val="Enfasigrassetto"/>
          <w:lang w:val="it-IT"/>
        </w:rPr>
        <w:t>tti</w:t>
      </w:r>
    </w:p>
    <w:p w14:paraId="348EC09D" w14:textId="77777777" w:rsidR="0037142E" w:rsidRPr="003F7108" w:rsidRDefault="0037142E" w:rsidP="0037142E">
      <w:pPr>
        <w:spacing w:before="0"/>
        <w:rPr>
          <w:rStyle w:val="Enfasigrassetto"/>
          <w:lang w:val="it-IT"/>
        </w:rPr>
      </w:pPr>
    </w:p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</w:tblGrid>
      <w:tr w:rsidR="0037142E" w:rsidRPr="00FA1992" w14:paraId="2F3B7F17" w14:textId="77777777" w:rsidTr="00C96928">
        <w:tc>
          <w:tcPr>
            <w:tcW w:w="4111" w:type="dxa"/>
          </w:tcPr>
          <w:p w14:paraId="638008AC" w14:textId="77777777" w:rsidR="0037142E" w:rsidRPr="0048383E" w:rsidRDefault="0037142E" w:rsidP="00C96928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>
              <w:rPr>
                <w:rStyle w:val="Enfasigrassetto"/>
              </w:rPr>
              <w:t>Dr. Axel Lüdeke</w:t>
            </w:r>
          </w:p>
          <w:p w14:paraId="41D98CD2" w14:textId="77777777" w:rsidR="0037142E" w:rsidRDefault="0037142E" w:rsidP="00C96928">
            <w:pPr>
              <w:autoSpaceDE w:val="0"/>
              <w:autoSpaceDN w:val="0"/>
              <w:adjustRightInd w:val="0"/>
              <w:spacing w:before="0"/>
              <w:ind w:right="282"/>
            </w:pPr>
            <w:r>
              <w:t xml:space="preserve">Head of Group Communications </w:t>
            </w:r>
            <w:r>
              <w:br/>
              <w:t xml:space="preserve">&amp; Public Affairs </w:t>
            </w:r>
          </w:p>
          <w:p w14:paraId="51FC2210" w14:textId="77777777" w:rsidR="0037142E" w:rsidRPr="00F239CF" w:rsidRDefault="0037142E" w:rsidP="00C96928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F239CF">
              <w:rPr>
                <w:lang w:val="de-DE"/>
              </w:rPr>
              <w:t xml:space="preserve">Schaeffler AG, Herzogenaurach, </w:t>
            </w:r>
          </w:p>
          <w:p w14:paraId="50B3AE7B" w14:textId="77777777" w:rsidR="0037142E" w:rsidRPr="00F239CF" w:rsidRDefault="0037142E" w:rsidP="00C96928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F239CF">
              <w:rPr>
                <w:lang w:val="de-DE"/>
              </w:rPr>
              <w:t>Germany</w:t>
            </w:r>
          </w:p>
          <w:p w14:paraId="18398964" w14:textId="77777777" w:rsidR="0037142E" w:rsidRPr="00F239CF" w:rsidRDefault="0037142E" w:rsidP="00C96928">
            <w:pPr>
              <w:ind w:right="282"/>
              <w:rPr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6B105265" wp14:editId="6C35DFB4">
                  <wp:extent cx="129600" cy="129600"/>
                  <wp:effectExtent l="0" t="0" r="381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39CF">
              <w:rPr>
                <w:lang w:val="de-DE"/>
              </w:rPr>
              <w:t xml:space="preserve">  +49 9132 82 8901</w:t>
            </w:r>
          </w:p>
          <w:p w14:paraId="72587999" w14:textId="77777777" w:rsidR="0037142E" w:rsidRPr="00F239CF" w:rsidRDefault="0037142E" w:rsidP="00C96928">
            <w:pPr>
              <w:spacing w:before="0"/>
              <w:ind w:right="282"/>
              <w:rPr>
                <w:rStyle w:val="Collegamentoipertestuale"/>
                <w:lang w:val="de-DE"/>
              </w:rPr>
            </w:pPr>
            <w:r>
              <w:rPr>
                <w:noProof/>
                <w:sz w:val="20"/>
                <w:lang w:val="de-DE" w:eastAsia="de-DE"/>
              </w:rPr>
              <w:drawing>
                <wp:inline distT="0" distB="0" distL="0" distR="0" wp14:anchorId="69D3F5B3" wp14:editId="0385B0DE">
                  <wp:extent cx="136800" cy="93600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39CF">
              <w:rPr>
                <w:sz w:val="20"/>
                <w:lang w:val="de-DE"/>
              </w:rPr>
              <w:t xml:space="preserve">  </w:t>
            </w:r>
            <w:hyperlink r:id="rId14" w:history="1">
              <w:r w:rsidRPr="00F239CF">
                <w:rPr>
                  <w:rStyle w:val="Collegamentoipertestuale"/>
                  <w:lang w:val="de-DE"/>
                </w:rPr>
                <w:t>axel.luedeke@schaeffler.com</w:t>
              </w:r>
            </w:hyperlink>
          </w:p>
          <w:p w14:paraId="473DCC3B" w14:textId="77777777" w:rsidR="0037142E" w:rsidRPr="00F239CF" w:rsidRDefault="0037142E" w:rsidP="00C96928">
            <w:pPr>
              <w:spacing w:before="0"/>
              <w:ind w:right="282"/>
              <w:rPr>
                <w:rStyle w:val="Enfasigrassetto"/>
                <w:b w:val="0"/>
                <w:bCs w:val="0"/>
                <w:color w:val="00893D" w:themeColor="background2"/>
                <w:sz w:val="32"/>
                <w:szCs w:val="32"/>
                <w:lang w:val="de-DE"/>
              </w:rPr>
            </w:pPr>
          </w:p>
        </w:tc>
        <w:tc>
          <w:tcPr>
            <w:tcW w:w="3544" w:type="dxa"/>
          </w:tcPr>
          <w:p w14:paraId="28D0D1C5" w14:textId="77777777" w:rsidR="0037142E" w:rsidRPr="0037142E" w:rsidRDefault="0037142E" w:rsidP="00C96928">
            <w:pPr>
              <w:autoSpaceDE w:val="0"/>
              <w:autoSpaceDN w:val="0"/>
              <w:adjustRightInd w:val="0"/>
              <w:spacing w:before="0"/>
              <w:ind w:left="144"/>
              <w:rPr>
                <w:rStyle w:val="Enfasigrassetto"/>
              </w:rPr>
            </w:pPr>
            <w:r>
              <w:rPr>
                <w:rStyle w:val="Enfasigrassetto"/>
              </w:rPr>
              <w:t>Heiko Eber</w:t>
            </w:r>
          </w:p>
          <w:p w14:paraId="6E0C4057" w14:textId="77777777" w:rsidR="0037142E" w:rsidRPr="0037142E" w:rsidRDefault="0037142E" w:rsidP="00C96928">
            <w:pPr>
              <w:autoSpaceDE w:val="0"/>
              <w:autoSpaceDN w:val="0"/>
              <w:adjustRightInd w:val="0"/>
              <w:spacing w:before="0"/>
              <w:ind w:left="144"/>
            </w:pPr>
            <w:r>
              <w:t>Head of Investor Relations</w:t>
            </w:r>
            <w:r>
              <w:br/>
            </w:r>
          </w:p>
          <w:p w14:paraId="670D3846" w14:textId="77777777" w:rsidR="0037142E" w:rsidRPr="00F239CF" w:rsidRDefault="0037142E" w:rsidP="00C96928">
            <w:pPr>
              <w:autoSpaceDE w:val="0"/>
              <w:autoSpaceDN w:val="0"/>
              <w:adjustRightInd w:val="0"/>
              <w:spacing w:before="0"/>
              <w:ind w:left="144"/>
              <w:rPr>
                <w:lang w:val="de-DE"/>
              </w:rPr>
            </w:pPr>
            <w:r w:rsidRPr="00F239CF">
              <w:rPr>
                <w:lang w:val="de-DE"/>
              </w:rPr>
              <w:t>Schaeffler AG, Herzogenaurach, Germany</w:t>
            </w:r>
          </w:p>
          <w:p w14:paraId="0134BA36" w14:textId="77777777" w:rsidR="0037142E" w:rsidRPr="00F239CF" w:rsidRDefault="0037142E" w:rsidP="00C96928">
            <w:pPr>
              <w:ind w:left="144" w:right="284"/>
              <w:rPr>
                <w:rStyle w:val="Collegamentoipertestuale"/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ADEEA26" wp14:editId="14C981CF">
                  <wp:extent cx="129540" cy="129540"/>
                  <wp:effectExtent l="0" t="0" r="381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39CF">
              <w:rPr>
                <w:lang w:val="de-DE"/>
              </w:rPr>
              <w:t xml:space="preserve">  +49 9132 82 88125</w:t>
            </w:r>
            <w:r w:rsidRPr="00F239CF">
              <w:rPr>
                <w:lang w:val="de-DE"/>
              </w:rPr>
              <w:br/>
            </w:r>
            <w:r>
              <w:rPr>
                <w:noProof/>
                <w:sz w:val="20"/>
                <w:lang w:val="de-DE" w:eastAsia="de-DE"/>
              </w:rPr>
              <w:drawing>
                <wp:inline distT="0" distB="0" distL="0" distR="0" wp14:anchorId="1185990D" wp14:editId="4D4D39B3">
                  <wp:extent cx="136800" cy="93600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39CF">
              <w:rPr>
                <w:sz w:val="20"/>
                <w:lang w:val="de-DE"/>
              </w:rPr>
              <w:t xml:space="preserve">  </w:t>
            </w:r>
            <w:hyperlink r:id="rId15" w:history="1">
              <w:r w:rsidRPr="00F239CF">
                <w:rPr>
                  <w:rStyle w:val="Collegamentoipertestuale"/>
                  <w:lang w:val="de-DE"/>
                </w:rPr>
                <w:t>heiko.eber@schaeffler.com</w:t>
              </w:r>
            </w:hyperlink>
          </w:p>
          <w:p w14:paraId="5ED868DB" w14:textId="77777777" w:rsidR="0037142E" w:rsidRPr="00F239CF" w:rsidRDefault="0037142E" w:rsidP="00C96928">
            <w:pPr>
              <w:spacing w:before="0"/>
              <w:ind w:left="144"/>
              <w:rPr>
                <w:rStyle w:val="Enfasigrassetto"/>
                <w:sz w:val="20"/>
                <w:szCs w:val="20"/>
                <w:lang w:val="de-DE"/>
              </w:rPr>
            </w:pPr>
          </w:p>
        </w:tc>
      </w:tr>
      <w:tr w:rsidR="0037142E" w:rsidRPr="00185D94" w14:paraId="29EA2F4C" w14:textId="77777777" w:rsidTr="00C96928">
        <w:tc>
          <w:tcPr>
            <w:tcW w:w="4111" w:type="dxa"/>
          </w:tcPr>
          <w:p w14:paraId="18875905" w14:textId="77777777" w:rsidR="0037142E" w:rsidRDefault="0037142E" w:rsidP="00C96928">
            <w:pPr>
              <w:autoSpaceDE w:val="0"/>
              <w:autoSpaceDN w:val="0"/>
              <w:adjustRightInd w:val="0"/>
            </w:pPr>
            <w:r>
              <w:rPr>
                <w:rStyle w:val="Enfasigrassetto"/>
              </w:rPr>
              <w:t>Matthias Herms</w:t>
            </w:r>
            <w:r>
              <w:rPr>
                <w:rStyle w:val="Enfasigrassetto"/>
              </w:rPr>
              <w:br/>
            </w:r>
            <w:r>
              <w:t>Head of Communications Finance, CSR &amp; Sustainability</w:t>
            </w:r>
            <w:r>
              <w:br/>
              <w:t>Schaeffler AG, Herzogenaurach</w:t>
            </w:r>
          </w:p>
          <w:p w14:paraId="2EF189FD" w14:textId="77777777" w:rsidR="00FA1992" w:rsidRPr="00FA1992" w:rsidRDefault="00FA1992" w:rsidP="00C96928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1B6EC91E" w14:textId="77777777" w:rsidR="0037142E" w:rsidRDefault="0037142E" w:rsidP="00C96928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>
              <w:rPr>
                <w:noProof/>
                <w:sz w:val="20"/>
                <w:lang w:val="de-DE" w:eastAsia="de-DE"/>
              </w:rPr>
              <w:drawing>
                <wp:inline distT="0" distB="0" distL="0" distR="0" wp14:anchorId="26AB67CA" wp14:editId="18B9691B">
                  <wp:extent cx="129600" cy="129600"/>
                  <wp:effectExtent l="0" t="0" r="3810" b="381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t>+49 9132 82 37314</w:t>
            </w:r>
            <w:r>
              <w:br/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1C01F78B" wp14:editId="128254F5">
                  <wp:extent cx="136800" cy="93600"/>
                  <wp:effectExtent l="0" t="0" r="0" b="190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hyperlink r:id="rId16" w:history="1">
              <w:r>
                <w:rPr>
                  <w:rStyle w:val="Collegamentoipertestuale"/>
                </w:rPr>
                <w:t>matthias.herms@schaeffler.com</w:t>
              </w:r>
            </w:hyperlink>
            <w:r>
              <w:rPr>
                <w:sz w:val="20"/>
              </w:rPr>
              <w:br/>
            </w:r>
          </w:p>
        </w:tc>
        <w:tc>
          <w:tcPr>
            <w:tcW w:w="3544" w:type="dxa"/>
          </w:tcPr>
          <w:p w14:paraId="4DAABB8F" w14:textId="470230C6" w:rsidR="0037142E" w:rsidRDefault="0037142E" w:rsidP="00C96928">
            <w:pPr>
              <w:autoSpaceDE w:val="0"/>
              <w:autoSpaceDN w:val="0"/>
              <w:adjustRightInd w:val="0"/>
              <w:spacing w:before="0"/>
              <w:ind w:left="144"/>
              <w:rPr>
                <w:rStyle w:val="Enfasigrassetto"/>
              </w:rPr>
            </w:pPr>
            <w:r>
              <w:rPr>
                <w:color w:val="00893D" w:themeColor="background2"/>
              </w:rPr>
              <w:br/>
            </w:r>
          </w:p>
        </w:tc>
      </w:tr>
    </w:tbl>
    <w:p w14:paraId="182541FD" w14:textId="77777777" w:rsidR="0037142E" w:rsidRDefault="0037142E" w:rsidP="0037142E">
      <w:pPr>
        <w:pStyle w:val="Hinweis"/>
        <w:rPr>
          <w:lang w:val="de-DE"/>
        </w:rPr>
      </w:pPr>
    </w:p>
    <w:p w14:paraId="68615668" w14:textId="77777777" w:rsidR="0037142E" w:rsidRDefault="0037142E" w:rsidP="0037142E">
      <w:pPr>
        <w:pStyle w:val="Hinweis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30A45" wp14:editId="446DB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AF82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31980E8E" w14:textId="77777777" w:rsidR="00FA1992" w:rsidRPr="005E4E62" w:rsidRDefault="00FA1992" w:rsidP="00FA1992">
      <w:pPr>
        <w:spacing w:line="240" w:lineRule="auto"/>
      </w:pPr>
      <w:bookmarkStart w:id="2" w:name="_Hlk149827070"/>
      <w:r>
        <w:rPr>
          <w:noProof/>
        </w:rPr>
        <w:drawing>
          <wp:inline distT="0" distB="0" distL="0" distR="0" wp14:anchorId="317329B7" wp14:editId="2A1419F0">
            <wp:extent cx="252000" cy="252000"/>
            <wp:effectExtent l="0" t="0" r="0" b="0"/>
            <wp:docPr id="15" name="Grafik 15" descr="Ein Bild, das Kreis, Symbol, weiß, Logo enthält.&#10;&#10;KI-generierte Inhalte können fehlerhaft sein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Kreis, Symbol, weiß, Logo enthält.&#10;&#10;KI-generierte Inhalte können fehlerhaft sein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033D876" wp14:editId="400423A0">
            <wp:extent cx="252000" cy="252000"/>
            <wp:effectExtent l="0" t="0" r="0" b="0"/>
            <wp:docPr id="17" name="Grafik 1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9D77528" wp14:editId="59B67D09">
            <wp:extent cx="248889" cy="252000"/>
            <wp:effectExtent l="0" t="0" r="0" b="0"/>
            <wp:docPr id="28" name="Grafik 28" descr="Ein Bild, das Symbol, Schrift, Kreis, Logo enthält.&#10;&#10;KI-generierte Inhalte können fehlerhaft sein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Symbol, Schrift, Kreis, Logo enthält.&#10;&#10;KI-generierte Inhalte können fehlerhaft sein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8E7A5B3" wp14:editId="79CC9F49">
            <wp:extent cx="252000" cy="252000"/>
            <wp:effectExtent l="0" t="0" r="0" b="0"/>
            <wp:docPr id="21" name="Grafik 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A07BCDD" wp14:editId="55E5422D">
            <wp:extent cx="252000" cy="252000"/>
            <wp:effectExtent l="0" t="0" r="0" b="0"/>
            <wp:docPr id="29" name="Grafik 2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72894A9" wp14:editId="4ADBE8D7">
            <wp:extent cx="252000" cy="252000"/>
            <wp:effectExtent l="0" t="0" r="0" b="0"/>
            <wp:docPr id="30" name="Grafik 3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0673388F" w14:textId="37ED3C82" w:rsidR="00993A43" w:rsidRPr="005E4E62" w:rsidRDefault="00993A43" w:rsidP="0037142E">
      <w:pPr>
        <w:pStyle w:val="Hinweisfett"/>
        <w:jc w:val="both"/>
        <w:rPr>
          <w:rFonts w:ascii="Calibri" w:hAnsi="Calibri"/>
        </w:rPr>
      </w:pPr>
    </w:p>
    <w:sectPr w:rsidR="00993A43" w:rsidRPr="005E4E62" w:rsidSect="0033108C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5453" w14:textId="77777777" w:rsidR="00173711" w:rsidRDefault="00173711" w:rsidP="00DF6567">
      <w:pPr>
        <w:spacing w:line="240" w:lineRule="auto"/>
      </w:pPr>
      <w:r>
        <w:separator/>
      </w:r>
    </w:p>
  </w:endnote>
  <w:endnote w:type="continuationSeparator" w:id="0">
    <w:p w14:paraId="298B8260" w14:textId="77777777" w:rsidR="00173711" w:rsidRDefault="00173711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FE4F66">
          <w:t>2</w:t>
        </w:r>
        <w:r w:rsidRPr="00AB5AB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F66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A197" w14:textId="77777777" w:rsidR="00173711" w:rsidRDefault="00173711" w:rsidP="00DF6567">
      <w:pPr>
        <w:spacing w:line="240" w:lineRule="auto"/>
      </w:pPr>
      <w:r>
        <w:separator/>
      </w:r>
    </w:p>
  </w:footnote>
  <w:footnote w:type="continuationSeparator" w:id="0">
    <w:p w14:paraId="5F61EDB2" w14:textId="77777777" w:rsidR="00173711" w:rsidRDefault="00173711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  <w:lang w:val="de-DE" w:eastAsia="de-DE"/>
      </w:rPr>
      <w:drawing>
        <wp:anchor distT="0" distB="0" distL="114300" distR="114300" simplePos="0" relativeHeight="251659264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9D24DE" id="Rechteck 1" o:spid="_x0000_s1026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538DC32D" w:rsidR="00AB5AB6" w:rsidRPr="00FD1703" w:rsidRDefault="00FD1703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 e IR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538DC32D" w:rsidR="00AB5AB6" w:rsidRPr="00FD1703" w:rsidRDefault="00FD1703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 e IR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82307">
    <w:abstractNumId w:val="6"/>
  </w:num>
  <w:num w:numId="2" w16cid:durableId="1976400439">
    <w:abstractNumId w:val="5"/>
  </w:num>
  <w:num w:numId="3" w16cid:durableId="1093362310">
    <w:abstractNumId w:val="10"/>
  </w:num>
  <w:num w:numId="4" w16cid:durableId="2138328514">
    <w:abstractNumId w:val="11"/>
  </w:num>
  <w:num w:numId="5" w16cid:durableId="1402946973">
    <w:abstractNumId w:val="8"/>
  </w:num>
  <w:num w:numId="6" w16cid:durableId="1146512099">
    <w:abstractNumId w:val="7"/>
  </w:num>
  <w:num w:numId="7" w16cid:durableId="2130003298">
    <w:abstractNumId w:val="9"/>
  </w:num>
  <w:num w:numId="8" w16cid:durableId="1428690489">
    <w:abstractNumId w:val="4"/>
  </w:num>
  <w:num w:numId="9" w16cid:durableId="542058278">
    <w:abstractNumId w:val="3"/>
  </w:num>
  <w:num w:numId="10" w16cid:durableId="957493596">
    <w:abstractNumId w:val="2"/>
  </w:num>
  <w:num w:numId="11" w16cid:durableId="1742025956">
    <w:abstractNumId w:val="1"/>
  </w:num>
  <w:num w:numId="12" w16cid:durableId="64108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E62"/>
    <w:rsid w:val="00015FD4"/>
    <w:rsid w:val="0002077D"/>
    <w:rsid w:val="00026162"/>
    <w:rsid w:val="0002634A"/>
    <w:rsid w:val="00030876"/>
    <w:rsid w:val="000325A2"/>
    <w:rsid w:val="00033482"/>
    <w:rsid w:val="00045563"/>
    <w:rsid w:val="00047292"/>
    <w:rsid w:val="00075654"/>
    <w:rsid w:val="00095AF9"/>
    <w:rsid w:val="00097BF3"/>
    <w:rsid w:val="000A183F"/>
    <w:rsid w:val="000A262F"/>
    <w:rsid w:val="000B3350"/>
    <w:rsid w:val="000C57A5"/>
    <w:rsid w:val="000D3A25"/>
    <w:rsid w:val="000E0D64"/>
    <w:rsid w:val="000E100D"/>
    <w:rsid w:val="000E67F0"/>
    <w:rsid w:val="000F0245"/>
    <w:rsid w:val="00105DA7"/>
    <w:rsid w:val="00106786"/>
    <w:rsid w:val="00113A4F"/>
    <w:rsid w:val="0012719B"/>
    <w:rsid w:val="0013382E"/>
    <w:rsid w:val="00140E1A"/>
    <w:rsid w:val="00140EA5"/>
    <w:rsid w:val="001512A1"/>
    <w:rsid w:val="00153B3F"/>
    <w:rsid w:val="0015725F"/>
    <w:rsid w:val="00162450"/>
    <w:rsid w:val="00164DA8"/>
    <w:rsid w:val="00171151"/>
    <w:rsid w:val="0017275B"/>
    <w:rsid w:val="001728C1"/>
    <w:rsid w:val="00173711"/>
    <w:rsid w:val="00185889"/>
    <w:rsid w:val="001909D1"/>
    <w:rsid w:val="001A0D58"/>
    <w:rsid w:val="001A2241"/>
    <w:rsid w:val="001A4DFA"/>
    <w:rsid w:val="001D028C"/>
    <w:rsid w:val="001D481B"/>
    <w:rsid w:val="001D7599"/>
    <w:rsid w:val="001F0BB7"/>
    <w:rsid w:val="001F5EEB"/>
    <w:rsid w:val="0020032C"/>
    <w:rsid w:val="00220896"/>
    <w:rsid w:val="0022289E"/>
    <w:rsid w:val="00226573"/>
    <w:rsid w:val="00227259"/>
    <w:rsid w:val="002317C9"/>
    <w:rsid w:val="002624A3"/>
    <w:rsid w:val="00266394"/>
    <w:rsid w:val="0027236E"/>
    <w:rsid w:val="00274B82"/>
    <w:rsid w:val="00275873"/>
    <w:rsid w:val="00290C24"/>
    <w:rsid w:val="00291368"/>
    <w:rsid w:val="0029148D"/>
    <w:rsid w:val="00296941"/>
    <w:rsid w:val="002A34AC"/>
    <w:rsid w:val="002C780F"/>
    <w:rsid w:val="002E1937"/>
    <w:rsid w:val="002E2CF2"/>
    <w:rsid w:val="002E68F4"/>
    <w:rsid w:val="002F0740"/>
    <w:rsid w:val="002F71F8"/>
    <w:rsid w:val="002F76FF"/>
    <w:rsid w:val="0030051C"/>
    <w:rsid w:val="00300D11"/>
    <w:rsid w:val="003022D5"/>
    <w:rsid w:val="003060A0"/>
    <w:rsid w:val="003147CD"/>
    <w:rsid w:val="0032689F"/>
    <w:rsid w:val="0033108C"/>
    <w:rsid w:val="00331D72"/>
    <w:rsid w:val="00336E29"/>
    <w:rsid w:val="00336F4C"/>
    <w:rsid w:val="00347108"/>
    <w:rsid w:val="003649EE"/>
    <w:rsid w:val="0037142E"/>
    <w:rsid w:val="0037195E"/>
    <w:rsid w:val="0037346F"/>
    <w:rsid w:val="0037495E"/>
    <w:rsid w:val="00390428"/>
    <w:rsid w:val="00392F83"/>
    <w:rsid w:val="003932B5"/>
    <w:rsid w:val="003B40F2"/>
    <w:rsid w:val="003B55B9"/>
    <w:rsid w:val="003B57A1"/>
    <w:rsid w:val="003B74E4"/>
    <w:rsid w:val="003C2A2A"/>
    <w:rsid w:val="003C5C13"/>
    <w:rsid w:val="003F7108"/>
    <w:rsid w:val="00436E0F"/>
    <w:rsid w:val="0044790B"/>
    <w:rsid w:val="0045526D"/>
    <w:rsid w:val="004630FF"/>
    <w:rsid w:val="004733C8"/>
    <w:rsid w:val="004740C9"/>
    <w:rsid w:val="00476105"/>
    <w:rsid w:val="004A5DBD"/>
    <w:rsid w:val="004A7DBF"/>
    <w:rsid w:val="004B114C"/>
    <w:rsid w:val="004B19B6"/>
    <w:rsid w:val="004B2BCC"/>
    <w:rsid w:val="004B70EF"/>
    <w:rsid w:val="004C458A"/>
    <w:rsid w:val="004F0FDA"/>
    <w:rsid w:val="004F752B"/>
    <w:rsid w:val="00500C85"/>
    <w:rsid w:val="00501304"/>
    <w:rsid w:val="00504840"/>
    <w:rsid w:val="00506203"/>
    <w:rsid w:val="00515AA3"/>
    <w:rsid w:val="005209ED"/>
    <w:rsid w:val="00520B52"/>
    <w:rsid w:val="00520C3F"/>
    <w:rsid w:val="005232BD"/>
    <w:rsid w:val="00523C0B"/>
    <w:rsid w:val="00525010"/>
    <w:rsid w:val="005254C5"/>
    <w:rsid w:val="00526017"/>
    <w:rsid w:val="00552D90"/>
    <w:rsid w:val="00554E28"/>
    <w:rsid w:val="00564419"/>
    <w:rsid w:val="00566E82"/>
    <w:rsid w:val="00580443"/>
    <w:rsid w:val="00592016"/>
    <w:rsid w:val="005926D5"/>
    <w:rsid w:val="005A0354"/>
    <w:rsid w:val="005A07B3"/>
    <w:rsid w:val="005A0C59"/>
    <w:rsid w:val="005A35E8"/>
    <w:rsid w:val="005A5580"/>
    <w:rsid w:val="005B089F"/>
    <w:rsid w:val="005B156A"/>
    <w:rsid w:val="005D2320"/>
    <w:rsid w:val="005E4E62"/>
    <w:rsid w:val="005F148F"/>
    <w:rsid w:val="005F63E8"/>
    <w:rsid w:val="005F6947"/>
    <w:rsid w:val="00600AC2"/>
    <w:rsid w:val="00610EB5"/>
    <w:rsid w:val="00622BF4"/>
    <w:rsid w:val="00623769"/>
    <w:rsid w:val="00624707"/>
    <w:rsid w:val="00626BC8"/>
    <w:rsid w:val="0063028B"/>
    <w:rsid w:val="00631348"/>
    <w:rsid w:val="00652E2F"/>
    <w:rsid w:val="006607A2"/>
    <w:rsid w:val="006624DF"/>
    <w:rsid w:val="006678FD"/>
    <w:rsid w:val="00677A29"/>
    <w:rsid w:val="00682D46"/>
    <w:rsid w:val="006864DC"/>
    <w:rsid w:val="006A05A8"/>
    <w:rsid w:val="006A1B6D"/>
    <w:rsid w:val="006A2B7C"/>
    <w:rsid w:val="006A5C61"/>
    <w:rsid w:val="006B42EB"/>
    <w:rsid w:val="006B6318"/>
    <w:rsid w:val="006C1D9F"/>
    <w:rsid w:val="006C7DEB"/>
    <w:rsid w:val="006D65F9"/>
    <w:rsid w:val="006D6ABD"/>
    <w:rsid w:val="006E754B"/>
    <w:rsid w:val="006E77CB"/>
    <w:rsid w:val="006E7C84"/>
    <w:rsid w:val="006F55D0"/>
    <w:rsid w:val="00707AEA"/>
    <w:rsid w:val="00707B60"/>
    <w:rsid w:val="007166DE"/>
    <w:rsid w:val="00731BC9"/>
    <w:rsid w:val="00731ECC"/>
    <w:rsid w:val="00735BB7"/>
    <w:rsid w:val="00744FE0"/>
    <w:rsid w:val="007469C1"/>
    <w:rsid w:val="00764276"/>
    <w:rsid w:val="00766918"/>
    <w:rsid w:val="0079072C"/>
    <w:rsid w:val="007975E0"/>
    <w:rsid w:val="007A31CF"/>
    <w:rsid w:val="007B0EE5"/>
    <w:rsid w:val="007B287C"/>
    <w:rsid w:val="007B3BCE"/>
    <w:rsid w:val="007C0770"/>
    <w:rsid w:val="007C52BC"/>
    <w:rsid w:val="007D0509"/>
    <w:rsid w:val="007D0988"/>
    <w:rsid w:val="007F2239"/>
    <w:rsid w:val="00814743"/>
    <w:rsid w:val="0081556D"/>
    <w:rsid w:val="008201F9"/>
    <w:rsid w:val="00832AAB"/>
    <w:rsid w:val="00835BA1"/>
    <w:rsid w:val="008474A3"/>
    <w:rsid w:val="00851D1B"/>
    <w:rsid w:val="00857DD6"/>
    <w:rsid w:val="00860C29"/>
    <w:rsid w:val="00871B32"/>
    <w:rsid w:val="008851D7"/>
    <w:rsid w:val="00885A16"/>
    <w:rsid w:val="00895F28"/>
    <w:rsid w:val="00896A37"/>
    <w:rsid w:val="008B18D3"/>
    <w:rsid w:val="008C09C2"/>
    <w:rsid w:val="008C0BC7"/>
    <w:rsid w:val="008E4133"/>
    <w:rsid w:val="008E4CD7"/>
    <w:rsid w:val="008F0D37"/>
    <w:rsid w:val="008F54B0"/>
    <w:rsid w:val="00901AC8"/>
    <w:rsid w:val="009031C8"/>
    <w:rsid w:val="00904836"/>
    <w:rsid w:val="00911F16"/>
    <w:rsid w:val="00914DF9"/>
    <w:rsid w:val="00915AD2"/>
    <w:rsid w:val="0091663D"/>
    <w:rsid w:val="00920CCC"/>
    <w:rsid w:val="009232BD"/>
    <w:rsid w:val="00930BDD"/>
    <w:rsid w:val="00947EA3"/>
    <w:rsid w:val="009560C2"/>
    <w:rsid w:val="009623FA"/>
    <w:rsid w:val="00971DD3"/>
    <w:rsid w:val="0097643D"/>
    <w:rsid w:val="0097686F"/>
    <w:rsid w:val="00984D26"/>
    <w:rsid w:val="009874B1"/>
    <w:rsid w:val="00993A43"/>
    <w:rsid w:val="00995F06"/>
    <w:rsid w:val="00997A99"/>
    <w:rsid w:val="009A29DD"/>
    <w:rsid w:val="009A31C6"/>
    <w:rsid w:val="009A36BE"/>
    <w:rsid w:val="009A5847"/>
    <w:rsid w:val="009A6878"/>
    <w:rsid w:val="009B00B1"/>
    <w:rsid w:val="009B056E"/>
    <w:rsid w:val="009D52D2"/>
    <w:rsid w:val="009E29E2"/>
    <w:rsid w:val="00A11665"/>
    <w:rsid w:val="00A154BD"/>
    <w:rsid w:val="00A468F2"/>
    <w:rsid w:val="00A52770"/>
    <w:rsid w:val="00A5397E"/>
    <w:rsid w:val="00A544B3"/>
    <w:rsid w:val="00A60018"/>
    <w:rsid w:val="00A62BF4"/>
    <w:rsid w:val="00A7025F"/>
    <w:rsid w:val="00A7419D"/>
    <w:rsid w:val="00A7697A"/>
    <w:rsid w:val="00A82D6A"/>
    <w:rsid w:val="00A85BA1"/>
    <w:rsid w:val="00AA4D9E"/>
    <w:rsid w:val="00AA58ED"/>
    <w:rsid w:val="00AB561A"/>
    <w:rsid w:val="00AB5AB6"/>
    <w:rsid w:val="00AD0056"/>
    <w:rsid w:val="00AE3FF0"/>
    <w:rsid w:val="00AE4755"/>
    <w:rsid w:val="00AF76CE"/>
    <w:rsid w:val="00B00195"/>
    <w:rsid w:val="00B0162B"/>
    <w:rsid w:val="00B05DA3"/>
    <w:rsid w:val="00B13126"/>
    <w:rsid w:val="00B174C1"/>
    <w:rsid w:val="00B1782B"/>
    <w:rsid w:val="00B206C4"/>
    <w:rsid w:val="00B2433A"/>
    <w:rsid w:val="00B2438F"/>
    <w:rsid w:val="00B24C89"/>
    <w:rsid w:val="00B30F14"/>
    <w:rsid w:val="00B45F74"/>
    <w:rsid w:val="00B4677C"/>
    <w:rsid w:val="00B53A77"/>
    <w:rsid w:val="00B53C7D"/>
    <w:rsid w:val="00B635D2"/>
    <w:rsid w:val="00B726AE"/>
    <w:rsid w:val="00B80D37"/>
    <w:rsid w:val="00B9549D"/>
    <w:rsid w:val="00BA11A2"/>
    <w:rsid w:val="00BA2833"/>
    <w:rsid w:val="00BB54CA"/>
    <w:rsid w:val="00BC6214"/>
    <w:rsid w:val="00BD6A25"/>
    <w:rsid w:val="00BE5180"/>
    <w:rsid w:val="00BE6658"/>
    <w:rsid w:val="00C17ACA"/>
    <w:rsid w:val="00C20EA4"/>
    <w:rsid w:val="00C32B09"/>
    <w:rsid w:val="00C375F5"/>
    <w:rsid w:val="00C51167"/>
    <w:rsid w:val="00C652E3"/>
    <w:rsid w:val="00C7000E"/>
    <w:rsid w:val="00C80A79"/>
    <w:rsid w:val="00C81756"/>
    <w:rsid w:val="00C8725C"/>
    <w:rsid w:val="00CA4042"/>
    <w:rsid w:val="00CA4C75"/>
    <w:rsid w:val="00CD0C9F"/>
    <w:rsid w:val="00CD61A6"/>
    <w:rsid w:val="00CD728F"/>
    <w:rsid w:val="00CD7AE9"/>
    <w:rsid w:val="00CD7E4A"/>
    <w:rsid w:val="00CE1F3D"/>
    <w:rsid w:val="00CE3CAE"/>
    <w:rsid w:val="00CF0A14"/>
    <w:rsid w:val="00D02474"/>
    <w:rsid w:val="00D04109"/>
    <w:rsid w:val="00D0591F"/>
    <w:rsid w:val="00D0734A"/>
    <w:rsid w:val="00D11C27"/>
    <w:rsid w:val="00D22B87"/>
    <w:rsid w:val="00D27390"/>
    <w:rsid w:val="00D31AE5"/>
    <w:rsid w:val="00D62638"/>
    <w:rsid w:val="00D63FDB"/>
    <w:rsid w:val="00D66D7F"/>
    <w:rsid w:val="00D764A7"/>
    <w:rsid w:val="00D83474"/>
    <w:rsid w:val="00D86706"/>
    <w:rsid w:val="00DA7F89"/>
    <w:rsid w:val="00DB077D"/>
    <w:rsid w:val="00DB561C"/>
    <w:rsid w:val="00DC6F13"/>
    <w:rsid w:val="00DC703D"/>
    <w:rsid w:val="00DC7791"/>
    <w:rsid w:val="00DD4BE8"/>
    <w:rsid w:val="00DD5C05"/>
    <w:rsid w:val="00DE3A5B"/>
    <w:rsid w:val="00DE5A3C"/>
    <w:rsid w:val="00DE7DBD"/>
    <w:rsid w:val="00DF3F13"/>
    <w:rsid w:val="00DF43CB"/>
    <w:rsid w:val="00DF6567"/>
    <w:rsid w:val="00E13587"/>
    <w:rsid w:val="00E207CA"/>
    <w:rsid w:val="00E3111A"/>
    <w:rsid w:val="00E51A3F"/>
    <w:rsid w:val="00E66B94"/>
    <w:rsid w:val="00E77217"/>
    <w:rsid w:val="00E9673A"/>
    <w:rsid w:val="00EA7E04"/>
    <w:rsid w:val="00EC3B3F"/>
    <w:rsid w:val="00EC698D"/>
    <w:rsid w:val="00ED2E7D"/>
    <w:rsid w:val="00EE1A00"/>
    <w:rsid w:val="00EE2689"/>
    <w:rsid w:val="00EF176D"/>
    <w:rsid w:val="00EF2702"/>
    <w:rsid w:val="00EF3150"/>
    <w:rsid w:val="00F162FD"/>
    <w:rsid w:val="00F239CF"/>
    <w:rsid w:val="00F33DB6"/>
    <w:rsid w:val="00F4109D"/>
    <w:rsid w:val="00F453D9"/>
    <w:rsid w:val="00F51227"/>
    <w:rsid w:val="00F71597"/>
    <w:rsid w:val="00F74BF8"/>
    <w:rsid w:val="00F80D99"/>
    <w:rsid w:val="00F94F8A"/>
    <w:rsid w:val="00FA1992"/>
    <w:rsid w:val="00FB5D4E"/>
    <w:rsid w:val="00FB66C6"/>
    <w:rsid w:val="00FB77B1"/>
    <w:rsid w:val="00FC0652"/>
    <w:rsid w:val="00FC258F"/>
    <w:rsid w:val="00FC766A"/>
    <w:rsid w:val="00FD1703"/>
    <w:rsid w:val="00FE3F51"/>
    <w:rsid w:val="00FE4F66"/>
    <w:rsid w:val="00FF0AEC"/>
    <w:rsid w:val="0E284721"/>
    <w:rsid w:val="2A11757A"/>
    <w:rsid w:val="318B392E"/>
    <w:rsid w:val="387BF2CC"/>
    <w:rsid w:val="48D20172"/>
    <w:rsid w:val="70FE6C86"/>
    <w:rsid w:val="7587316F"/>
    <w:rsid w:val="784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docId w15:val="{D0126099-A89A-4087-9AAE-5E147FA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E1A00"/>
    <w:pPr>
      <w:spacing w:before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1A00"/>
    <w:rPr>
      <w:color w:val="4A4A49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1A00"/>
    <w:rPr>
      <w:vertAlign w:val="superscript"/>
    </w:rPr>
  </w:style>
  <w:style w:type="paragraph" w:styleId="Revisione">
    <w:name w:val="Revision"/>
    <w:hidden/>
    <w:uiPriority w:val="99"/>
    <w:semiHidden/>
    <w:rsid w:val="000F0245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1711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11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1151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11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1151"/>
    <w:rPr>
      <w:b/>
      <w:bCs/>
      <w:color w:val="4A4A49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B30F14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chaefflergrou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://www.schaeffler.com" TargetMode="External"/><Relationship Id="rId25" Type="http://schemas.openxmlformats.org/officeDocument/2006/relationships/hyperlink" Target="https://www.instagram.com/schaefflergroup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atthias.herms@schaeffler.com" TargetMode="External"/><Relationship Id="rId20" Type="http://schemas.openxmlformats.org/officeDocument/2006/relationships/image" Target="media/image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haeffler.com/en/group/executive-board/" TargetMode="External"/><Relationship Id="rId24" Type="http://schemas.openxmlformats.org/officeDocument/2006/relationships/image" Target="media/image6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heiko.eber@schaeffler.com" TargetMode="External"/><Relationship Id="rId23" Type="http://schemas.openxmlformats.org/officeDocument/2006/relationships/hyperlink" Target="https://www.facebook.com/SchaefflerGroup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://www.linkedin.com/company/schaeffler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xel.luedeke@schaeffler.com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youtube.com/user/SchaefflerGlobal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BE61-B6C3-44FC-84B0-616B702BBB81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87070E6F-5D94-4C95-B68C-0091B895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F82D9-945D-4276-80DA-D2428B1661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76EAF-B413-46C7-851B-7540470F6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Duerschner, Melanie  (ext.)  SZ/HZA-CMB</dc:creator>
  <cp:lastModifiedBy>Zucchetti, Daniela  SW/MOM-CI</cp:lastModifiedBy>
  <cp:revision>10</cp:revision>
  <cp:lastPrinted>2019-08-08T07:50:00Z</cp:lastPrinted>
  <dcterms:created xsi:type="dcterms:W3CDTF">2026-05-04T17:27:00Z</dcterms:created>
  <dcterms:modified xsi:type="dcterms:W3CDTF">2026-05-05T15:40:00Z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2021-05-26T06:59:02Z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2741c53a-610f-4cd1-ab58-8627a8d6cbff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  <property fmtid="{D5CDD505-2E9C-101B-9397-08002B2CF9AE}" pid="12" name="_dlc_DocIdItemGuid">
    <vt:lpwstr>4f42fb73-2e34-4ce4-94f9-a4e8b6017166</vt:lpwstr>
  </property>
</Properties>
</file>