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871B32" w14:paraId="497F5AFB" w14:textId="77777777" w:rsidTr="6A9496B2">
        <w:trPr>
          <w:trHeight w:hRule="exact" w:val="595"/>
        </w:trPr>
        <w:tc>
          <w:tcPr>
            <w:tcW w:w="7370" w:type="dxa"/>
          </w:tcPr>
          <w:p w14:paraId="1C998B3D" w14:textId="77777777" w:rsidR="0033108C" w:rsidRPr="00D764A7" w:rsidRDefault="0033108C" w:rsidP="001D028C">
            <w:pPr>
              <w:pStyle w:val="Titolo2"/>
            </w:pPr>
          </w:p>
        </w:tc>
      </w:tr>
      <w:tr w:rsidR="00D62638" w:rsidRPr="00527A30" w14:paraId="0358193D" w14:textId="77777777" w:rsidTr="6A9496B2">
        <w:trPr>
          <w:trHeight w:hRule="exact" w:val="1758"/>
        </w:trPr>
        <w:tc>
          <w:tcPr>
            <w:tcW w:w="7370" w:type="dxa"/>
          </w:tcPr>
          <w:p w14:paraId="682C3773" w14:textId="52477C34" w:rsidR="00D62638" w:rsidRPr="00864AE1" w:rsidRDefault="00864AE1" w:rsidP="000A262F">
            <w:pPr>
              <w:pStyle w:val="Titolo1"/>
              <w:rPr>
                <w:lang w:val="it-IT"/>
              </w:rPr>
            </w:pPr>
            <w:r w:rsidRPr="00864AE1">
              <w:rPr>
                <w:lang w:val="it-IT"/>
              </w:rPr>
              <w:t xml:space="preserve">Schaeffler pubblica </w:t>
            </w:r>
            <w:r w:rsidR="00D22EEA">
              <w:rPr>
                <w:lang w:val="it-IT"/>
              </w:rPr>
              <w:t>il</w:t>
            </w:r>
            <w:r w:rsidRPr="00864AE1">
              <w:rPr>
                <w:lang w:val="it-IT"/>
              </w:rPr>
              <w:t xml:space="preserve"> </w:t>
            </w:r>
            <w:r w:rsidR="00D22EEA">
              <w:rPr>
                <w:lang w:val="it-IT"/>
              </w:rPr>
              <w:t>Bilancio</w:t>
            </w:r>
            <w:r w:rsidRPr="00864AE1">
              <w:rPr>
                <w:lang w:val="it-IT"/>
              </w:rPr>
              <w:t xml:space="preserve"> di Sostenibilità 2025</w:t>
            </w:r>
          </w:p>
        </w:tc>
      </w:tr>
      <w:tr w:rsidR="00AB5AB6" w:rsidRPr="00527A30" w14:paraId="01799C92" w14:textId="77777777" w:rsidTr="6A9496B2">
        <w:trPr>
          <w:trHeight w:hRule="exact" w:val="737"/>
        </w:trPr>
        <w:tc>
          <w:tcPr>
            <w:tcW w:w="7370" w:type="dxa"/>
          </w:tcPr>
          <w:p w14:paraId="65CCEBA9" w14:textId="77777777" w:rsidR="00AB5AB6" w:rsidRPr="00864AE1" w:rsidRDefault="00AB5AB6" w:rsidP="006A5C61">
            <w:pPr>
              <w:rPr>
                <w:lang w:val="it-IT"/>
              </w:rPr>
            </w:pPr>
          </w:p>
        </w:tc>
      </w:tr>
    </w:tbl>
    <w:p w14:paraId="75D882FE" w14:textId="25CB313D" w:rsidR="00864AE1" w:rsidRPr="00864AE1" w:rsidRDefault="00864AE1" w:rsidP="00864AE1">
      <w:pPr>
        <w:pStyle w:val="Paragrafoelenco"/>
        <w:rPr>
          <w:lang w:val="it-IT" w:eastAsia="it-IT"/>
        </w:rPr>
      </w:pPr>
      <w:bookmarkStart w:id="0" w:name="_Hlk14262545"/>
      <w:r w:rsidRPr="00864AE1">
        <w:rPr>
          <w:lang w:val="it-IT" w:eastAsia="it-IT"/>
        </w:rPr>
        <w:t>La sostenibilità è parte integrante del</w:t>
      </w:r>
      <w:r w:rsidR="0034551D">
        <w:rPr>
          <w:lang w:val="it-IT" w:eastAsia="it-IT"/>
        </w:rPr>
        <w:t>l’</w:t>
      </w:r>
      <w:proofErr w:type="spellStart"/>
      <w:r w:rsidR="0034551D">
        <w:rPr>
          <w:lang w:val="it-IT" w:eastAsia="it-IT"/>
        </w:rPr>
        <w:t>Annual</w:t>
      </w:r>
      <w:proofErr w:type="spellEnd"/>
      <w:r w:rsidRPr="00864AE1">
        <w:rPr>
          <w:lang w:val="it-IT" w:eastAsia="it-IT"/>
        </w:rPr>
        <w:t xml:space="preserve"> R</w:t>
      </w:r>
      <w:r>
        <w:rPr>
          <w:lang w:val="it-IT" w:eastAsia="it-IT"/>
        </w:rPr>
        <w:t>eport</w:t>
      </w:r>
      <w:r w:rsidRPr="00864AE1">
        <w:rPr>
          <w:lang w:val="it-IT" w:eastAsia="it-IT"/>
        </w:rPr>
        <w:t xml:space="preserve"> per il secondo anno consecutivo</w:t>
      </w:r>
    </w:p>
    <w:p w14:paraId="1B558C57" w14:textId="0997439F" w:rsidR="00864AE1" w:rsidRPr="00864AE1" w:rsidRDefault="00864AE1" w:rsidP="00864AE1">
      <w:pPr>
        <w:pStyle w:val="Paragrafoelenco"/>
        <w:rPr>
          <w:lang w:val="it-IT" w:eastAsia="it-IT"/>
        </w:rPr>
      </w:pPr>
      <w:r w:rsidRPr="00864AE1">
        <w:rPr>
          <w:lang w:val="it-IT" w:eastAsia="it-IT"/>
        </w:rPr>
        <w:t xml:space="preserve">Cinque ambiti d’azione definiti, con focus su protezione del clima, efficienza delle risorse, diritti umani, sviluppo dei </w:t>
      </w:r>
      <w:r>
        <w:rPr>
          <w:lang w:val="it-IT" w:eastAsia="it-IT"/>
        </w:rPr>
        <w:t>collaboratori</w:t>
      </w:r>
      <w:r w:rsidRPr="00864AE1">
        <w:rPr>
          <w:lang w:val="it-IT" w:eastAsia="it-IT"/>
        </w:rPr>
        <w:t xml:space="preserve"> e governance</w:t>
      </w:r>
    </w:p>
    <w:p w14:paraId="25035EC0" w14:textId="2450EE52" w:rsidR="00864AE1" w:rsidRPr="00864AE1" w:rsidRDefault="00864AE1" w:rsidP="00864AE1">
      <w:pPr>
        <w:pStyle w:val="Paragrafoelenco"/>
        <w:rPr>
          <w:lang w:val="it-IT" w:eastAsia="it-IT"/>
        </w:rPr>
      </w:pPr>
      <w:r>
        <w:rPr>
          <w:lang w:val="it-IT" w:eastAsia="it-IT"/>
        </w:rPr>
        <w:t>I</w:t>
      </w:r>
      <w:r w:rsidRPr="00864AE1">
        <w:rPr>
          <w:lang w:val="it-IT" w:eastAsia="it-IT"/>
        </w:rPr>
        <w:t>ndicatori di sostenibilità selezionati saldamente integrati nel sistema di remunerazione – obiettivi di sostenibilità 2025 raggiunti</w:t>
      </w:r>
    </w:p>
    <w:bookmarkEnd w:id="0"/>
    <w:p w14:paraId="48327506" w14:textId="77777777" w:rsidR="00864AE1" w:rsidRPr="00864AE1" w:rsidRDefault="00864AE1" w:rsidP="00864AE1">
      <w:pPr>
        <w:pStyle w:val="Paragrafoelenco"/>
        <w:rPr>
          <w:lang w:val="it-IT" w:eastAsia="it-IT"/>
        </w:rPr>
      </w:pPr>
      <w:r w:rsidRPr="00864AE1">
        <w:rPr>
          <w:lang w:val="it-IT" w:eastAsia="it-IT"/>
        </w:rPr>
        <w:t>La sostenibilità rimane di rilevanza strategica per Schaeffler</w:t>
      </w:r>
    </w:p>
    <w:p w14:paraId="132F74E7" w14:textId="66BF42A1" w:rsidR="008B1659" w:rsidRPr="00864AE1" w:rsidRDefault="000406E8" w:rsidP="008B1659">
      <w:pPr>
        <w:rPr>
          <w:lang w:val="it-IT"/>
        </w:rPr>
      </w:pPr>
      <w:proofErr w:type="spellStart"/>
      <w:r w:rsidRPr="00864AE1">
        <w:rPr>
          <w:lang w:val="it-IT"/>
        </w:rPr>
        <w:t>Herzogenaurach</w:t>
      </w:r>
      <w:proofErr w:type="spellEnd"/>
      <w:r w:rsidRPr="00864AE1">
        <w:rPr>
          <w:lang w:val="it-IT"/>
        </w:rPr>
        <w:t>, German</w:t>
      </w:r>
      <w:r w:rsidR="00864AE1" w:rsidRPr="00864AE1">
        <w:rPr>
          <w:lang w:val="it-IT"/>
        </w:rPr>
        <w:t>ia</w:t>
      </w:r>
      <w:r w:rsidRPr="00864AE1">
        <w:rPr>
          <w:lang w:val="it-IT"/>
        </w:rPr>
        <w:t xml:space="preserve"> | </w:t>
      </w:r>
      <w:r w:rsidR="00527A30">
        <w:rPr>
          <w:lang w:val="it-IT"/>
        </w:rPr>
        <w:t>Marzo</w:t>
      </w:r>
      <w:r w:rsidRPr="00864AE1">
        <w:rPr>
          <w:lang w:val="it-IT"/>
        </w:rPr>
        <w:t xml:space="preserve"> 2026 | </w:t>
      </w:r>
      <w:r w:rsidR="00864AE1" w:rsidRPr="00864AE1">
        <w:rPr>
          <w:lang w:val="it-IT"/>
        </w:rPr>
        <w:t xml:space="preserve">In linea con la Corporate </w:t>
      </w:r>
      <w:proofErr w:type="spellStart"/>
      <w:r w:rsidR="00864AE1" w:rsidRPr="00864AE1">
        <w:rPr>
          <w:lang w:val="it-IT"/>
        </w:rPr>
        <w:t>Sustainability</w:t>
      </w:r>
      <w:proofErr w:type="spellEnd"/>
      <w:r w:rsidR="00864AE1" w:rsidRPr="00864AE1">
        <w:rPr>
          <w:lang w:val="it-IT"/>
        </w:rPr>
        <w:t xml:space="preserve"> Reporting Directive (CSRD), il Gruppo Schaeffler ha presentato, per il secondo anno consecutivo, </w:t>
      </w:r>
      <w:r w:rsidR="00D22EEA">
        <w:rPr>
          <w:lang w:val="it-IT"/>
        </w:rPr>
        <w:t>il proprio Bilancio</w:t>
      </w:r>
      <w:r w:rsidR="00864AE1" w:rsidRPr="00864AE1">
        <w:rPr>
          <w:lang w:val="it-IT"/>
        </w:rPr>
        <w:t xml:space="preserve"> di Sostenibilità come parte integrante de</w:t>
      </w:r>
      <w:r w:rsidR="0034551D">
        <w:rPr>
          <w:lang w:val="it-IT"/>
        </w:rPr>
        <w:t>ll’</w:t>
      </w:r>
      <w:proofErr w:type="spellStart"/>
      <w:r w:rsidR="0034551D">
        <w:rPr>
          <w:lang w:val="it-IT"/>
        </w:rPr>
        <w:t>Annual</w:t>
      </w:r>
      <w:proofErr w:type="spellEnd"/>
      <w:r w:rsidR="0034551D">
        <w:rPr>
          <w:lang w:val="it-IT"/>
        </w:rPr>
        <w:t xml:space="preserve"> Report</w:t>
      </w:r>
      <w:r w:rsidR="00864AE1" w:rsidRPr="00864AE1">
        <w:rPr>
          <w:lang w:val="it-IT"/>
        </w:rPr>
        <w:t xml:space="preserve">. </w:t>
      </w:r>
      <w:r w:rsidR="00A34034">
        <w:rPr>
          <w:lang w:val="it-IT"/>
        </w:rPr>
        <w:t>L</w:t>
      </w:r>
      <w:r w:rsidR="00864AE1" w:rsidRPr="00864AE1">
        <w:rPr>
          <w:lang w:val="it-IT"/>
        </w:rPr>
        <w:t xml:space="preserve">’azienda illustra le proprie performance in ambito sostenibilità e le modalità con cui la strategia ESG è stata aggiornata per riflettere le nuove condizioni successive all’acquisizione di </w:t>
      </w:r>
      <w:proofErr w:type="spellStart"/>
      <w:r w:rsidR="00864AE1" w:rsidRPr="00864AE1">
        <w:rPr>
          <w:lang w:val="it-IT"/>
        </w:rPr>
        <w:t>Vitesco</w:t>
      </w:r>
      <w:proofErr w:type="spellEnd"/>
      <w:r w:rsidR="00864AE1" w:rsidRPr="00864AE1">
        <w:rPr>
          <w:lang w:val="it-IT"/>
        </w:rPr>
        <w:t>. Inoltre, l’anno di rendicontazione 2025 fungerà in futuro da anno base per gli obiettivi di decarbonizzazione di Schaeffler</w:t>
      </w:r>
      <w:r w:rsidRPr="00864AE1">
        <w:rPr>
          <w:lang w:val="it-IT"/>
        </w:rPr>
        <w:t xml:space="preserve">. </w:t>
      </w:r>
    </w:p>
    <w:p w14:paraId="0D9D52EC" w14:textId="568EC611" w:rsidR="005A7405" w:rsidRPr="00864AE1" w:rsidRDefault="00D20545" w:rsidP="008B1659">
      <w:pPr>
        <w:rPr>
          <w:lang w:val="it-IT"/>
        </w:rPr>
      </w:pPr>
      <w:r w:rsidRPr="00864AE1">
        <w:rPr>
          <w:lang w:val="it-IT"/>
        </w:rPr>
        <w:t xml:space="preserve">Klaus Rosenfeld, CEO </w:t>
      </w:r>
      <w:r w:rsidR="00864AE1" w:rsidRPr="00864AE1">
        <w:rPr>
          <w:lang w:val="it-IT"/>
        </w:rPr>
        <w:t>di</w:t>
      </w:r>
      <w:r w:rsidRPr="00864AE1">
        <w:rPr>
          <w:lang w:val="it-IT"/>
        </w:rPr>
        <w:t xml:space="preserve"> Schaeffler AG, </w:t>
      </w:r>
      <w:r w:rsidR="00864AE1" w:rsidRPr="00864AE1">
        <w:rPr>
          <w:lang w:val="it-IT"/>
        </w:rPr>
        <w:t>ha dichiarato</w:t>
      </w:r>
      <w:r w:rsidRPr="00864AE1">
        <w:rPr>
          <w:lang w:val="it-IT"/>
        </w:rPr>
        <w:t>: “</w:t>
      </w:r>
      <w:r w:rsidR="00864AE1" w:rsidRPr="00864AE1">
        <w:rPr>
          <w:lang w:val="it-IT"/>
        </w:rPr>
        <w:t xml:space="preserve">A seguito della riuscita integrazione con Vitesco, abbiamo rinnovato in modo continuo e proattivo la nostra strategia ESG, adeguando i nostri obiettivi climatici alle nuove condizioni. Come negli anni precedenti, intendiamo far validare i nostri obiettivi dalla Science </w:t>
      </w:r>
      <w:proofErr w:type="spellStart"/>
      <w:r w:rsidR="00864AE1" w:rsidRPr="00864AE1">
        <w:rPr>
          <w:lang w:val="it-IT"/>
        </w:rPr>
        <w:t>Based</w:t>
      </w:r>
      <w:proofErr w:type="spellEnd"/>
      <w:r w:rsidR="00864AE1" w:rsidRPr="00864AE1">
        <w:rPr>
          <w:lang w:val="it-IT"/>
        </w:rPr>
        <w:t xml:space="preserve"> Targets </w:t>
      </w:r>
      <w:proofErr w:type="spellStart"/>
      <w:r w:rsidR="00864AE1" w:rsidRPr="00864AE1">
        <w:rPr>
          <w:lang w:val="it-IT"/>
        </w:rPr>
        <w:t>initiative</w:t>
      </w:r>
      <w:proofErr w:type="spellEnd"/>
      <w:r w:rsidR="00864AE1" w:rsidRPr="00864AE1">
        <w:rPr>
          <w:lang w:val="it-IT"/>
        </w:rPr>
        <w:t xml:space="preserve"> (</w:t>
      </w:r>
      <w:proofErr w:type="spellStart"/>
      <w:r w:rsidR="00864AE1" w:rsidRPr="00864AE1">
        <w:rPr>
          <w:lang w:val="it-IT"/>
        </w:rPr>
        <w:t>SBTi</w:t>
      </w:r>
      <w:proofErr w:type="spellEnd"/>
      <w:r w:rsidR="00864AE1" w:rsidRPr="00864AE1">
        <w:rPr>
          <w:lang w:val="it-IT"/>
        </w:rPr>
        <w:t>). In questo modo, ribadiamo che la sostenibilità rimane di rilevanza strategica per Schaeffler</w:t>
      </w:r>
      <w:r w:rsidR="003977B3" w:rsidRPr="00864AE1">
        <w:rPr>
          <w:rFonts w:asciiTheme="majorHAnsi" w:hAnsiTheme="majorHAnsi"/>
          <w:lang w:val="it-IT"/>
        </w:rPr>
        <w:t>.</w:t>
      </w:r>
      <w:r w:rsidRPr="00864AE1">
        <w:rPr>
          <w:rFonts w:asciiTheme="majorHAnsi" w:hAnsiTheme="majorHAnsi"/>
          <w:lang w:val="it-IT"/>
        </w:rPr>
        <w:t xml:space="preserve">” </w:t>
      </w:r>
    </w:p>
    <w:p w14:paraId="1EA489A0" w14:textId="0E498E4A" w:rsidR="008B1659" w:rsidRPr="00864AE1" w:rsidRDefault="00D96189" w:rsidP="008B1659">
      <w:pPr>
        <w:rPr>
          <w:lang w:val="it-IT"/>
        </w:rPr>
      </w:pPr>
      <w:r w:rsidRPr="00864AE1">
        <w:rPr>
          <w:lang w:val="it-IT"/>
        </w:rPr>
        <w:t xml:space="preserve">Dr. Anja Rivera, Head of Strategic </w:t>
      </w:r>
      <w:proofErr w:type="spellStart"/>
      <w:r w:rsidRPr="00864AE1">
        <w:rPr>
          <w:lang w:val="it-IT"/>
        </w:rPr>
        <w:t>Sustainability</w:t>
      </w:r>
      <w:proofErr w:type="spellEnd"/>
      <w:r w:rsidRPr="00864AE1">
        <w:rPr>
          <w:lang w:val="it-IT"/>
        </w:rPr>
        <w:t xml:space="preserve"> </w:t>
      </w:r>
      <w:r w:rsidR="00864AE1" w:rsidRPr="00864AE1">
        <w:rPr>
          <w:lang w:val="it-IT"/>
        </w:rPr>
        <w:t>di</w:t>
      </w:r>
      <w:r w:rsidRPr="00864AE1">
        <w:rPr>
          <w:lang w:val="it-IT"/>
        </w:rPr>
        <w:t xml:space="preserve"> Schaeffler, </w:t>
      </w:r>
      <w:r w:rsidR="00864AE1" w:rsidRPr="00864AE1">
        <w:rPr>
          <w:lang w:val="it-IT"/>
        </w:rPr>
        <w:t>ha aggiunto</w:t>
      </w:r>
      <w:r w:rsidRPr="00864AE1">
        <w:rPr>
          <w:lang w:val="it-IT"/>
        </w:rPr>
        <w:t xml:space="preserve">: </w:t>
      </w:r>
      <w:r w:rsidRPr="00864AE1">
        <w:rPr>
          <w:rFonts w:asciiTheme="majorHAnsi" w:hAnsiTheme="majorHAnsi"/>
          <w:lang w:val="it-IT"/>
        </w:rPr>
        <w:t>“</w:t>
      </w:r>
      <w:r w:rsidR="00864AE1" w:rsidRPr="00864AE1">
        <w:rPr>
          <w:lang w:val="it-IT"/>
        </w:rPr>
        <w:t xml:space="preserve">Con il rinnovato impegno nei confronti della </w:t>
      </w:r>
      <w:proofErr w:type="spellStart"/>
      <w:r w:rsidR="00864AE1" w:rsidRPr="00864AE1">
        <w:rPr>
          <w:lang w:val="it-IT"/>
        </w:rPr>
        <w:t>SBTi</w:t>
      </w:r>
      <w:proofErr w:type="spellEnd"/>
      <w:r w:rsidR="00864AE1" w:rsidRPr="00864AE1">
        <w:rPr>
          <w:lang w:val="it-IT"/>
        </w:rPr>
        <w:t>, abbiamo voluto sottolineare che i nostri obiettivi climatici sono costantemente allineati a standard scientifici e che stiamo contribuendo attivamente al cambiamento per garantire un futuro sostenibile e competitivo – per la nostra azienda, i nostri clienti e la società.</w:t>
      </w:r>
      <w:r w:rsidRPr="00864AE1">
        <w:rPr>
          <w:lang w:val="it-IT"/>
        </w:rPr>
        <w:t>”</w:t>
      </w:r>
    </w:p>
    <w:p w14:paraId="46887368" w14:textId="67F511ED" w:rsidR="001266E1" w:rsidRPr="003252A1" w:rsidRDefault="003252A1" w:rsidP="008B1659">
      <w:pPr>
        <w:rPr>
          <w:lang w:val="it-IT"/>
        </w:rPr>
      </w:pPr>
      <w:r w:rsidRPr="003252A1">
        <w:rPr>
          <w:lang w:val="it-IT"/>
        </w:rPr>
        <w:t xml:space="preserve">Per Schaeffler, l’anno di rendicontazione 2025 è stato ancora caratterizzato dall’integrazione di </w:t>
      </w:r>
      <w:proofErr w:type="spellStart"/>
      <w:r w:rsidRPr="003252A1">
        <w:rPr>
          <w:lang w:val="it-IT"/>
        </w:rPr>
        <w:t>Vitesco</w:t>
      </w:r>
      <w:proofErr w:type="spellEnd"/>
      <w:r w:rsidRPr="003252A1">
        <w:rPr>
          <w:lang w:val="it-IT"/>
        </w:rPr>
        <w:t>, un importante fornitore internazionale di soluzioni per l’e</w:t>
      </w:r>
      <w:r w:rsidRPr="003252A1">
        <w:rPr>
          <w:lang w:val="it-IT"/>
        </w:rPr>
        <w:noBreakHyphen/>
      </w:r>
      <w:proofErr w:type="spellStart"/>
      <w:r w:rsidRPr="003252A1">
        <w:rPr>
          <w:lang w:val="it-IT"/>
        </w:rPr>
        <w:t>mobility</w:t>
      </w:r>
      <w:proofErr w:type="spellEnd"/>
      <w:r w:rsidRPr="003252A1">
        <w:rPr>
          <w:lang w:val="it-IT"/>
        </w:rPr>
        <w:t xml:space="preserve">, e, di conseguenza, dall’adattamento mirato della strategia ESG. Il </w:t>
      </w:r>
      <w:r w:rsidRPr="003252A1">
        <w:rPr>
          <w:lang w:val="it-IT"/>
        </w:rPr>
        <w:lastRenderedPageBreak/>
        <w:t>nuovo framework comprende</w:t>
      </w:r>
      <w:r>
        <w:rPr>
          <w:lang w:val="it-IT"/>
        </w:rPr>
        <w:t xml:space="preserve"> un focus su</w:t>
      </w:r>
      <w:r w:rsidRPr="003252A1">
        <w:rPr>
          <w:lang w:val="it-IT"/>
        </w:rPr>
        <w:t xml:space="preserve"> cinque ambiti d’azione, con un totale di 20 KPI strategici</w:t>
      </w:r>
      <w:r w:rsidR="008B1659" w:rsidRPr="003252A1">
        <w:rPr>
          <w:lang w:val="it-IT"/>
        </w:rPr>
        <w:t>:</w:t>
      </w:r>
    </w:p>
    <w:p w14:paraId="5FE5AE71" w14:textId="1CC66C63" w:rsidR="003252A1" w:rsidRPr="003252A1" w:rsidRDefault="003252A1" w:rsidP="003252A1">
      <w:pPr>
        <w:pStyle w:val="Paragrafoelenco"/>
        <w:numPr>
          <w:ilvl w:val="0"/>
          <w:numId w:val="15"/>
        </w:numPr>
        <w:spacing w:after="120"/>
        <w:rPr>
          <w:sz w:val="22"/>
          <w:lang w:val="it-IT"/>
        </w:rPr>
      </w:pPr>
      <w:r w:rsidRPr="003252A1">
        <w:rPr>
          <w:sz w:val="22"/>
          <w:lang w:val="it-IT"/>
        </w:rPr>
        <w:t>Accelerare l’azione per il clima verso il Net</w:t>
      </w:r>
      <w:r w:rsidRPr="003252A1">
        <w:rPr>
          <w:rFonts w:ascii="Cambria Math" w:hAnsi="Cambria Math" w:cs="Cambria Math"/>
          <w:sz w:val="22"/>
          <w:lang w:val="it-IT"/>
        </w:rPr>
        <w:t>‑</w:t>
      </w:r>
      <w:r w:rsidRPr="003252A1">
        <w:rPr>
          <w:sz w:val="22"/>
          <w:lang w:val="it-IT"/>
        </w:rPr>
        <w:t>Zero</w:t>
      </w:r>
    </w:p>
    <w:p w14:paraId="096212E7" w14:textId="60BB1543" w:rsidR="003252A1" w:rsidRPr="003252A1" w:rsidRDefault="003252A1" w:rsidP="003252A1">
      <w:pPr>
        <w:pStyle w:val="Paragrafoelenco"/>
        <w:numPr>
          <w:ilvl w:val="0"/>
          <w:numId w:val="15"/>
        </w:numPr>
        <w:spacing w:after="120"/>
        <w:rPr>
          <w:sz w:val="22"/>
          <w:lang w:val="it-IT"/>
        </w:rPr>
      </w:pPr>
      <w:r w:rsidRPr="003252A1">
        <w:rPr>
          <w:sz w:val="22"/>
          <w:lang w:val="it-IT"/>
        </w:rPr>
        <w:t>Favorire la transizione verso un’economia circolare</w:t>
      </w:r>
    </w:p>
    <w:p w14:paraId="127BD6FA" w14:textId="196F5009" w:rsidR="003252A1" w:rsidRPr="003252A1" w:rsidRDefault="003252A1" w:rsidP="003252A1">
      <w:pPr>
        <w:pStyle w:val="Paragrafoelenco"/>
        <w:numPr>
          <w:ilvl w:val="0"/>
          <w:numId w:val="15"/>
        </w:numPr>
        <w:spacing w:after="120"/>
        <w:rPr>
          <w:sz w:val="22"/>
          <w:lang w:val="it-IT"/>
        </w:rPr>
      </w:pPr>
      <w:r w:rsidRPr="003252A1">
        <w:rPr>
          <w:sz w:val="22"/>
          <w:lang w:val="it-IT"/>
        </w:rPr>
        <w:t>Tutelare i diritti umani e le condizioni di lavoro</w:t>
      </w:r>
    </w:p>
    <w:p w14:paraId="33F2EAFF" w14:textId="5B92DC48" w:rsidR="003252A1" w:rsidRPr="003252A1" w:rsidRDefault="003252A1" w:rsidP="003252A1">
      <w:pPr>
        <w:pStyle w:val="Paragrafoelenco"/>
        <w:numPr>
          <w:ilvl w:val="0"/>
          <w:numId w:val="15"/>
        </w:numPr>
        <w:spacing w:after="120"/>
        <w:rPr>
          <w:sz w:val="22"/>
          <w:lang w:val="it-IT"/>
        </w:rPr>
      </w:pPr>
      <w:r w:rsidRPr="003252A1">
        <w:rPr>
          <w:sz w:val="22"/>
          <w:lang w:val="it-IT"/>
        </w:rPr>
        <w:t>Valorizzare le persone per un futuro sostenibile</w:t>
      </w:r>
    </w:p>
    <w:p w14:paraId="29D3AE46" w14:textId="6DAFE48B" w:rsidR="00322A99" w:rsidRPr="003252A1" w:rsidRDefault="003252A1" w:rsidP="003252A1">
      <w:pPr>
        <w:pStyle w:val="Paragrafoelenco"/>
        <w:numPr>
          <w:ilvl w:val="0"/>
          <w:numId w:val="15"/>
        </w:numPr>
        <w:spacing w:after="120"/>
        <w:rPr>
          <w:sz w:val="22"/>
          <w:lang w:val="it-IT"/>
        </w:rPr>
      </w:pPr>
      <w:r w:rsidRPr="003252A1">
        <w:rPr>
          <w:sz w:val="22"/>
          <w:lang w:val="it-IT"/>
        </w:rPr>
        <w:t>Garantire integrità nei processi decisionali</w:t>
      </w:r>
      <w:r w:rsidR="00322A99" w:rsidRPr="003252A1">
        <w:rPr>
          <w:sz w:val="22"/>
          <w:lang w:val="it-IT"/>
        </w:rPr>
        <w:br/>
      </w:r>
    </w:p>
    <w:p w14:paraId="71129F5C" w14:textId="07FD0061" w:rsidR="003252A1" w:rsidRDefault="0034551D" w:rsidP="008B1659">
      <w:pPr>
        <w:rPr>
          <w:lang w:val="it-IT"/>
        </w:rPr>
      </w:pPr>
      <w:r>
        <w:rPr>
          <w:lang w:val="it-IT"/>
        </w:rPr>
        <w:t xml:space="preserve">Il </w:t>
      </w:r>
      <w:r w:rsidR="003252A1" w:rsidRPr="003252A1">
        <w:rPr>
          <w:lang w:val="it-IT"/>
        </w:rPr>
        <w:t xml:space="preserve">tema centrale dell’ambito d’azione </w:t>
      </w:r>
      <w:r w:rsidR="003252A1" w:rsidRPr="003252A1">
        <w:rPr>
          <w:b/>
          <w:bCs/>
          <w:lang w:val="it-IT"/>
        </w:rPr>
        <w:t>“Accelerare l’azione per il clima verso il Net</w:t>
      </w:r>
      <w:r w:rsidR="003252A1" w:rsidRPr="003252A1">
        <w:rPr>
          <w:rFonts w:ascii="Cambria Math" w:hAnsi="Cambria Math" w:cs="Cambria Math"/>
          <w:b/>
          <w:bCs/>
          <w:lang w:val="it-IT"/>
        </w:rPr>
        <w:t>‑</w:t>
      </w:r>
      <w:r w:rsidR="003252A1" w:rsidRPr="003252A1">
        <w:rPr>
          <w:b/>
          <w:bCs/>
          <w:lang w:val="it-IT"/>
        </w:rPr>
        <w:t>Zero</w:t>
      </w:r>
      <w:r w:rsidR="003252A1" w:rsidRPr="003252A1">
        <w:rPr>
          <w:rFonts w:ascii="Calibri" w:hAnsi="Calibri" w:cs="Calibri"/>
          <w:b/>
          <w:bCs/>
          <w:lang w:val="it-IT"/>
        </w:rPr>
        <w:t>”</w:t>
      </w:r>
      <w:r w:rsidR="003252A1" w:rsidRPr="003252A1">
        <w:rPr>
          <w:lang w:val="it-IT"/>
        </w:rPr>
        <w:t xml:space="preserve"> </w:t>
      </w:r>
      <w:r w:rsidR="003252A1" w:rsidRPr="003252A1">
        <w:rPr>
          <w:rFonts w:ascii="Calibri" w:hAnsi="Calibri" w:cs="Calibri"/>
          <w:lang w:val="it-IT"/>
        </w:rPr>
        <w:t>è</w:t>
      </w:r>
      <w:r w:rsidR="003252A1" w:rsidRPr="003252A1">
        <w:rPr>
          <w:lang w:val="it-IT"/>
        </w:rPr>
        <w:t xml:space="preserve"> la riduzione sistematica delle emissioni di gas serra, sia nelle nostre operazioni sia lungo l</w:t>
      </w:r>
      <w:r w:rsidR="003252A1" w:rsidRPr="003252A1">
        <w:rPr>
          <w:rFonts w:ascii="Calibri" w:hAnsi="Calibri" w:cs="Calibri"/>
          <w:lang w:val="it-IT"/>
        </w:rPr>
        <w:t>’</w:t>
      </w:r>
      <w:r w:rsidR="003252A1" w:rsidRPr="003252A1">
        <w:rPr>
          <w:lang w:val="it-IT"/>
        </w:rPr>
        <w:t>intera catena del valore. In questo contesto, la riduzione delle fonti energetiche fossili e l</w:t>
      </w:r>
      <w:r w:rsidR="003252A1" w:rsidRPr="003252A1">
        <w:rPr>
          <w:rFonts w:ascii="Calibri" w:hAnsi="Calibri" w:cs="Calibri"/>
          <w:lang w:val="it-IT"/>
        </w:rPr>
        <w:t>’</w:t>
      </w:r>
      <w:r w:rsidR="003252A1" w:rsidRPr="003252A1">
        <w:rPr>
          <w:lang w:val="it-IT"/>
        </w:rPr>
        <w:t>ampliamento delle energie rinnovabili rivestono un ruolo fondamentale. Entro il 2030, ad esempio, il 70 percento dell</w:t>
      </w:r>
      <w:r w:rsidR="003252A1" w:rsidRPr="003252A1">
        <w:rPr>
          <w:rFonts w:ascii="Calibri" w:hAnsi="Calibri" w:cs="Calibri"/>
          <w:lang w:val="it-IT"/>
        </w:rPr>
        <w:t>’</w:t>
      </w:r>
      <w:r w:rsidR="003252A1" w:rsidRPr="003252A1">
        <w:rPr>
          <w:lang w:val="it-IT"/>
        </w:rPr>
        <w:t>energia elettrica acquistata nella supply chain dovr</w:t>
      </w:r>
      <w:r w:rsidR="003252A1" w:rsidRPr="003252A1">
        <w:rPr>
          <w:rFonts w:ascii="Calibri" w:hAnsi="Calibri" w:cs="Calibri"/>
          <w:lang w:val="it-IT"/>
        </w:rPr>
        <w:t>à</w:t>
      </w:r>
      <w:r w:rsidR="003252A1" w:rsidRPr="003252A1">
        <w:rPr>
          <w:lang w:val="it-IT"/>
        </w:rPr>
        <w:t xml:space="preserve"> provenire da fonti rinnovabili, dovranno essere raggiunti risparmi energetici cumulativi pari a 150 GWh/anno e dovranno essere installati 140 MWp di capacità di produzione diretta da fonti rinnovabili.</w:t>
      </w:r>
    </w:p>
    <w:p w14:paraId="2A0BDC2B" w14:textId="090B2601" w:rsidR="003252A1" w:rsidRPr="003252A1" w:rsidRDefault="003252A1" w:rsidP="003252A1">
      <w:pPr>
        <w:rPr>
          <w:lang w:val="it-IT"/>
        </w:rPr>
      </w:pPr>
      <w:r w:rsidRPr="003252A1">
        <w:rPr>
          <w:lang w:val="it-IT"/>
        </w:rPr>
        <w:t xml:space="preserve">Nell’ambito d’azione </w:t>
      </w:r>
      <w:r w:rsidRPr="003252A1">
        <w:rPr>
          <w:b/>
          <w:bCs/>
          <w:lang w:val="it-IT"/>
        </w:rPr>
        <w:t>“Favorire la transizione verso un’economia circolare”</w:t>
      </w:r>
      <w:r w:rsidRPr="003252A1">
        <w:rPr>
          <w:lang w:val="it-IT"/>
        </w:rPr>
        <w:t>, Schaeffler si concentra in modo approfondito su metodi di produzione che consentano un utilizzo efficiente delle risorse e integra i principi dell’economia circolare nei processi e nei prodotti. L’obiettivo è ridurre il tasso di rifiuti non riciclabili a un massimo del 6</w:t>
      </w:r>
      <w:r>
        <w:rPr>
          <w:lang w:val="it-IT"/>
        </w:rPr>
        <w:t xml:space="preserve"> percento</w:t>
      </w:r>
      <w:r w:rsidRPr="003252A1">
        <w:rPr>
          <w:lang w:val="it-IT"/>
        </w:rPr>
        <w:t>, ottenere risparmi cumulativi di 750.000 m³ di acqua dolce e aumentare la quota di materie prime secondarie al 35</w:t>
      </w:r>
      <w:r>
        <w:rPr>
          <w:lang w:val="it-IT"/>
        </w:rPr>
        <w:t xml:space="preserve"> percento</w:t>
      </w:r>
      <w:r w:rsidRPr="003252A1">
        <w:rPr>
          <w:lang w:val="it-IT"/>
        </w:rPr>
        <w:t xml:space="preserve"> entro il 2030.</w:t>
      </w:r>
    </w:p>
    <w:p w14:paraId="0843B2CE" w14:textId="1976C6CB" w:rsidR="003252A1" w:rsidRPr="003252A1" w:rsidRDefault="003252A1" w:rsidP="003252A1">
      <w:pPr>
        <w:rPr>
          <w:lang w:val="it-IT"/>
        </w:rPr>
      </w:pPr>
      <w:r w:rsidRPr="003252A1">
        <w:rPr>
          <w:lang w:val="it-IT"/>
        </w:rPr>
        <w:t xml:space="preserve">Con programmi completi per la tutela dei diritti umani e la promozione di condizioni di lavoro sicure – </w:t>
      </w:r>
      <w:r w:rsidRPr="003252A1">
        <w:rPr>
          <w:b/>
          <w:bCs/>
          <w:lang w:val="it-IT"/>
        </w:rPr>
        <w:t>“Tutelare i diritti umani e le condizioni di lavoro”</w:t>
      </w:r>
      <w:r w:rsidRPr="003252A1">
        <w:rPr>
          <w:lang w:val="it-IT"/>
        </w:rPr>
        <w:t xml:space="preserve"> – Schaeffler dimostra il proprio impegno verso equità, sicurezza e salute sul lavoro. Entro il 2030, almeno il 95</w:t>
      </w:r>
      <w:r w:rsidR="0034551D">
        <w:rPr>
          <w:lang w:val="it-IT"/>
        </w:rPr>
        <w:t xml:space="preserve"> percento</w:t>
      </w:r>
      <w:r w:rsidRPr="003252A1">
        <w:rPr>
          <w:lang w:val="it-IT"/>
        </w:rPr>
        <w:t xml:space="preserve"> della forza lavoro dell’azienda dovrà aver completato la formazione obbligatoria sui diritti umani e il tasso di infortuni (</w:t>
      </w:r>
      <w:proofErr w:type="spellStart"/>
      <w:r w:rsidRPr="003252A1">
        <w:rPr>
          <w:lang w:val="it-IT"/>
        </w:rPr>
        <w:t>lost</w:t>
      </w:r>
      <w:proofErr w:type="spellEnd"/>
      <w:r w:rsidRPr="003252A1">
        <w:rPr>
          <w:lang w:val="it-IT"/>
        </w:rPr>
        <w:t xml:space="preserve"> time </w:t>
      </w:r>
      <w:proofErr w:type="spellStart"/>
      <w:r w:rsidRPr="003252A1">
        <w:rPr>
          <w:lang w:val="it-IT"/>
        </w:rPr>
        <w:t>injury</w:t>
      </w:r>
      <w:proofErr w:type="spellEnd"/>
      <w:r w:rsidRPr="003252A1">
        <w:rPr>
          <w:lang w:val="it-IT"/>
        </w:rPr>
        <w:t xml:space="preserve"> rate) dovrà essere ridotto a un valore inferiore a 1,0.</w:t>
      </w:r>
    </w:p>
    <w:p w14:paraId="282F508B" w14:textId="4AED75C9" w:rsidR="003252A1" w:rsidRPr="003252A1" w:rsidRDefault="003252A1" w:rsidP="003252A1">
      <w:pPr>
        <w:rPr>
          <w:lang w:val="it-IT"/>
        </w:rPr>
      </w:pPr>
      <w:r w:rsidRPr="003252A1">
        <w:rPr>
          <w:lang w:val="it-IT"/>
        </w:rPr>
        <w:t xml:space="preserve">Il quarto ambito d’azione, </w:t>
      </w:r>
      <w:r w:rsidRPr="003252A1">
        <w:rPr>
          <w:b/>
          <w:bCs/>
          <w:lang w:val="it-IT"/>
        </w:rPr>
        <w:t>“Valorizzare le persone per un futuro sostenibile”</w:t>
      </w:r>
      <w:r w:rsidRPr="003252A1">
        <w:rPr>
          <w:lang w:val="it-IT"/>
        </w:rPr>
        <w:t xml:space="preserve">, pone al centro lo sviluppo e la qualificazione dei </w:t>
      </w:r>
      <w:r>
        <w:rPr>
          <w:lang w:val="it-IT"/>
        </w:rPr>
        <w:t>collaboratori</w:t>
      </w:r>
      <w:r w:rsidRPr="003252A1">
        <w:rPr>
          <w:lang w:val="it-IT"/>
        </w:rPr>
        <w:t>, nonché la promozione della diversità e dell’inclusione. Entro il 2030, almeno il 25</w:t>
      </w:r>
      <w:r>
        <w:rPr>
          <w:lang w:val="it-IT"/>
        </w:rPr>
        <w:t xml:space="preserve"> percento</w:t>
      </w:r>
      <w:r w:rsidRPr="003252A1">
        <w:rPr>
          <w:lang w:val="it-IT"/>
        </w:rPr>
        <w:t xml:space="preserve"> delle posizioni manageriali senior in Schaeffler dovrà essere ricoperto da donne e dovrà essere raggiunto un tasso di partecipazione alla formazione dell’85</w:t>
      </w:r>
      <w:r>
        <w:rPr>
          <w:lang w:val="it-IT"/>
        </w:rPr>
        <w:t xml:space="preserve"> percento</w:t>
      </w:r>
      <w:r w:rsidRPr="003252A1">
        <w:rPr>
          <w:lang w:val="it-IT"/>
        </w:rPr>
        <w:t>.</w:t>
      </w:r>
    </w:p>
    <w:p w14:paraId="25776BFB" w14:textId="77777777" w:rsidR="00976712" w:rsidRDefault="003252A1" w:rsidP="003252A1">
      <w:pPr>
        <w:rPr>
          <w:lang w:val="it-IT"/>
        </w:rPr>
      </w:pPr>
      <w:r w:rsidRPr="003252A1">
        <w:rPr>
          <w:lang w:val="it-IT"/>
        </w:rPr>
        <w:t xml:space="preserve">Strutture decisionali affidabili e trasparenti orientate all’ESG sono un pilastro centrale della governance di Schaeffler. L’ambito d’azione </w:t>
      </w:r>
      <w:r w:rsidRPr="00976712">
        <w:rPr>
          <w:b/>
          <w:bCs/>
          <w:lang w:val="it-IT"/>
        </w:rPr>
        <w:t>“Garantire integrità nei processi decisionali”</w:t>
      </w:r>
      <w:r w:rsidRPr="003252A1">
        <w:rPr>
          <w:lang w:val="it-IT"/>
        </w:rPr>
        <w:t>, infatti, si concentra su compliance, gestione delle segnalazioni (whistleblowing) e ottimizzazione della performance nei rating ESG. Entro il 2030, il 95</w:t>
      </w:r>
      <w:r w:rsidR="00976712">
        <w:rPr>
          <w:lang w:val="it-IT"/>
        </w:rPr>
        <w:t xml:space="preserve"> percento</w:t>
      </w:r>
      <w:r w:rsidRPr="003252A1">
        <w:rPr>
          <w:lang w:val="it-IT"/>
        </w:rPr>
        <w:t xml:space="preserve"> dei </w:t>
      </w:r>
      <w:r w:rsidR="00976712">
        <w:rPr>
          <w:lang w:val="it-IT"/>
        </w:rPr>
        <w:t>collaboratori</w:t>
      </w:r>
      <w:r w:rsidRPr="003252A1">
        <w:rPr>
          <w:lang w:val="it-IT"/>
        </w:rPr>
        <w:t xml:space="preserve"> dovrà aver ricevuto una formazione </w:t>
      </w:r>
      <w:r w:rsidRPr="003252A1">
        <w:rPr>
          <w:lang w:val="it-IT"/>
        </w:rPr>
        <w:lastRenderedPageBreak/>
        <w:t>sui temi rilevanti e almeno il 90</w:t>
      </w:r>
      <w:r w:rsidR="00976712">
        <w:rPr>
          <w:lang w:val="it-IT"/>
        </w:rPr>
        <w:t xml:space="preserve"> percento</w:t>
      </w:r>
      <w:r w:rsidRPr="003252A1">
        <w:rPr>
          <w:lang w:val="it-IT"/>
        </w:rPr>
        <w:t xml:space="preserve"> di tutti i casi di whistleblowing confermati dovrà essere gestito in modo tempestivo.</w:t>
      </w:r>
    </w:p>
    <w:p w14:paraId="48C4A4DB" w14:textId="3FEA8556" w:rsidR="00976712" w:rsidRPr="00976712" w:rsidRDefault="00976712" w:rsidP="00976712">
      <w:pPr>
        <w:rPr>
          <w:lang w:val="it-IT"/>
        </w:rPr>
      </w:pPr>
      <w:r>
        <w:rPr>
          <w:lang w:val="it-IT"/>
        </w:rPr>
        <w:t>Alcuni</w:t>
      </w:r>
      <w:r w:rsidRPr="00976712">
        <w:rPr>
          <w:lang w:val="it-IT"/>
        </w:rPr>
        <w:t xml:space="preserve"> indicatori selezionati sono </w:t>
      </w:r>
      <w:r>
        <w:rPr>
          <w:lang w:val="it-IT"/>
        </w:rPr>
        <w:t xml:space="preserve">anche </w:t>
      </w:r>
      <w:r w:rsidRPr="00976712">
        <w:rPr>
          <w:lang w:val="it-IT"/>
        </w:rPr>
        <w:t xml:space="preserve">integrati nel sistema di remunerazione annuale basato sulla performance dei </w:t>
      </w:r>
      <w:r>
        <w:rPr>
          <w:lang w:val="it-IT"/>
        </w:rPr>
        <w:t>componenti del Consiglio di Amministrazione</w:t>
      </w:r>
      <w:r w:rsidRPr="00976712">
        <w:rPr>
          <w:lang w:val="it-IT"/>
        </w:rPr>
        <w:t xml:space="preserve">, dei manager e dei </w:t>
      </w:r>
      <w:r>
        <w:rPr>
          <w:lang w:val="it-IT"/>
        </w:rPr>
        <w:t>collaboratori</w:t>
      </w:r>
      <w:r w:rsidRPr="00976712">
        <w:rPr>
          <w:lang w:val="it-IT"/>
        </w:rPr>
        <w:t xml:space="preserve"> eleggibili. Con il miglioramento dell’efficienza nella gestione dei rifiuti, che ha portato il tasso di rifiuti non riciclabili all’8,3</w:t>
      </w:r>
      <w:r>
        <w:rPr>
          <w:lang w:val="it-IT"/>
        </w:rPr>
        <w:t xml:space="preserve"> percento</w:t>
      </w:r>
      <w:r w:rsidRPr="00976712">
        <w:rPr>
          <w:lang w:val="it-IT"/>
        </w:rPr>
        <w:t xml:space="preserve">, e con il completamento di importanti misure di qualificazione, nel corso dell’anno di rendicontazione 2025 sono già stati raggiunti significativi nuovi obiettivi di bonus di breve termine. Nel 2026 verrà introdotto un nuovo indicatore rilevante ai fini del bonus come KPI. Questo dovrebbe offrire uno strumento ancora più efficace per rafforzare la motivazione e l’impegno duraturo dei </w:t>
      </w:r>
      <w:r>
        <w:rPr>
          <w:lang w:val="it-IT"/>
        </w:rPr>
        <w:t>collaboratori</w:t>
      </w:r>
      <w:r w:rsidRPr="00976712">
        <w:rPr>
          <w:lang w:val="it-IT"/>
        </w:rPr>
        <w:t>.</w:t>
      </w:r>
    </w:p>
    <w:p w14:paraId="5DCB5C25" w14:textId="77777777" w:rsidR="00976712" w:rsidRDefault="00976712" w:rsidP="00976712">
      <w:pPr>
        <w:rPr>
          <w:lang w:val="it-IT"/>
        </w:rPr>
      </w:pPr>
      <w:r w:rsidRPr="00976712">
        <w:rPr>
          <w:lang w:val="it-IT"/>
        </w:rPr>
        <w:t>Le più recenti valutazioni esterne riflettono l’attuazione coerente e il continuo miglioramento della strategia di sostenibilità. Nell’anno di rendicontazione 2025, sono stati nuovamente ottenuti gli ottimi rating CDP: A/A</w:t>
      </w:r>
      <w:r w:rsidRPr="00976712">
        <w:rPr>
          <w:rFonts w:ascii="Cambria Math" w:hAnsi="Cambria Math" w:cs="Cambria Math"/>
          <w:lang w:val="it-IT"/>
        </w:rPr>
        <w:t>‑</w:t>
      </w:r>
      <w:r w:rsidRPr="00976712">
        <w:rPr>
          <w:lang w:val="it-IT"/>
        </w:rPr>
        <w:t xml:space="preserve"> (</w:t>
      </w:r>
      <w:r w:rsidRPr="00976712">
        <w:rPr>
          <w:rFonts w:ascii="Calibri" w:hAnsi="Calibri" w:cs="Calibri"/>
          <w:lang w:val="it-IT"/>
        </w:rPr>
        <w:t>“</w:t>
      </w:r>
      <w:r w:rsidRPr="00976712">
        <w:rPr>
          <w:lang w:val="it-IT"/>
        </w:rPr>
        <w:t>Leadership Level</w:t>
      </w:r>
      <w:r w:rsidRPr="00976712">
        <w:rPr>
          <w:rFonts w:ascii="Calibri" w:hAnsi="Calibri" w:cs="Calibri"/>
          <w:lang w:val="it-IT"/>
        </w:rPr>
        <w:t>”</w:t>
      </w:r>
      <w:r w:rsidRPr="00976712">
        <w:rPr>
          <w:lang w:val="it-IT"/>
        </w:rPr>
        <w:t xml:space="preserve">), </w:t>
      </w:r>
      <w:proofErr w:type="spellStart"/>
      <w:r w:rsidRPr="00976712">
        <w:rPr>
          <w:lang w:val="it-IT"/>
        </w:rPr>
        <w:t>EcoVadis</w:t>
      </w:r>
      <w:proofErr w:type="spellEnd"/>
      <w:r w:rsidRPr="00976712">
        <w:rPr>
          <w:lang w:val="it-IT"/>
        </w:rPr>
        <w:t>: Gold e MSCI: BBB.</w:t>
      </w:r>
    </w:p>
    <w:p w14:paraId="5C2798C8" w14:textId="1DFDDD9B" w:rsidR="00A22811" w:rsidRPr="00976712" w:rsidRDefault="00976712" w:rsidP="00976712">
      <w:pPr>
        <w:rPr>
          <w:lang w:val="it-IT"/>
        </w:rPr>
      </w:pPr>
      <w:r w:rsidRPr="00976712">
        <w:rPr>
          <w:lang w:val="it-IT"/>
        </w:rPr>
        <w:t>Link al</w:t>
      </w:r>
      <w:r w:rsidR="00D22EEA">
        <w:rPr>
          <w:lang w:val="it-IT"/>
        </w:rPr>
        <w:t>l’</w:t>
      </w:r>
      <w:proofErr w:type="spellStart"/>
      <w:r w:rsidR="00D22EEA">
        <w:rPr>
          <w:lang w:val="it-IT"/>
        </w:rPr>
        <w:t>Annual</w:t>
      </w:r>
      <w:proofErr w:type="spellEnd"/>
      <w:r w:rsidR="00D22EEA">
        <w:rPr>
          <w:lang w:val="it-IT"/>
        </w:rPr>
        <w:t xml:space="preserve"> Report</w:t>
      </w:r>
      <w:r w:rsidRPr="00976712">
        <w:rPr>
          <w:lang w:val="it-IT"/>
        </w:rPr>
        <w:t xml:space="preserve">, </w:t>
      </w:r>
      <w:r w:rsidR="00D22EEA">
        <w:rPr>
          <w:lang w:val="it-IT"/>
        </w:rPr>
        <w:t>Bilancio</w:t>
      </w:r>
      <w:r w:rsidRPr="00976712">
        <w:rPr>
          <w:lang w:val="it-IT"/>
        </w:rPr>
        <w:t xml:space="preserve"> di Sostenibilità a partire da pagina 40</w:t>
      </w:r>
      <w:r w:rsidR="00A22811" w:rsidRPr="00976712">
        <w:rPr>
          <w:lang w:val="it-IT"/>
        </w:rPr>
        <w:t xml:space="preserve">: </w:t>
      </w:r>
      <w:r w:rsidR="00A22811" w:rsidRPr="00976712">
        <w:rPr>
          <w:lang w:val="it-IT"/>
        </w:rPr>
        <w:br/>
      </w:r>
      <w:hyperlink r:id="rId11" w:history="1">
        <w:proofErr w:type="spellStart"/>
        <w:r w:rsidR="00A22811" w:rsidRPr="00976712">
          <w:rPr>
            <w:rStyle w:val="Collegamentoipertestuale"/>
            <w:lang w:val="it-IT"/>
          </w:rPr>
          <w:t>Earnings</w:t>
        </w:r>
        <w:proofErr w:type="spellEnd"/>
        <w:r w:rsidR="00A22811" w:rsidRPr="00976712">
          <w:rPr>
            <w:rStyle w:val="Collegamentoipertestuale"/>
            <w:lang w:val="it-IT"/>
          </w:rPr>
          <w:t xml:space="preserve"> Releases | Schaeffler Group</w:t>
        </w:r>
      </w:hyperlink>
    </w:p>
    <w:p w14:paraId="0E8AAAF7" w14:textId="77777777" w:rsidR="009031C8" w:rsidRPr="00976712" w:rsidRDefault="009031C8" w:rsidP="009031C8">
      <w:pPr>
        <w:pStyle w:val="Hinweis"/>
        <w:rPr>
          <w:lang w:val="it-IT"/>
        </w:rPr>
      </w:pPr>
    </w:p>
    <w:p w14:paraId="46945290" w14:textId="77777777" w:rsidR="009C4A6B" w:rsidRPr="00976712" w:rsidRDefault="009C4A6B" w:rsidP="009031C8">
      <w:pPr>
        <w:pStyle w:val="Hinweis"/>
        <w:rPr>
          <w:lang w:val="it-IT"/>
        </w:rPr>
      </w:pPr>
    </w:p>
    <w:p w14:paraId="7C3694E7" w14:textId="77777777" w:rsidR="00976712" w:rsidRPr="00310B07" w:rsidRDefault="00976712" w:rsidP="00976712">
      <w:pPr>
        <w:pStyle w:val="Hinweis"/>
        <w:rPr>
          <w:lang w:val="it-IT"/>
        </w:rPr>
      </w:pPr>
      <w:r w:rsidRPr="00310B07">
        <w:rPr>
          <w:b/>
          <w:bCs/>
          <w:lang w:val="it-IT"/>
        </w:rPr>
        <w:t>Dichiarazioni e proiezioni previsionali</w:t>
      </w:r>
    </w:p>
    <w:p w14:paraId="54FB62DE" w14:textId="77777777" w:rsidR="00976712" w:rsidRPr="00FF23BF" w:rsidRDefault="00976712" w:rsidP="00976712">
      <w:pPr>
        <w:pStyle w:val="Hinweis"/>
        <w:rPr>
          <w:lang w:val="it-IT"/>
        </w:rPr>
      </w:pPr>
      <w:r w:rsidRPr="00FF23BF">
        <w:rPr>
          <w:lang w:val="it-IT"/>
        </w:rPr>
        <w:t>Alcune affermazioni contenute in questo comunicato stampa costituiscono dichiarazioni previsionali. Per loro natura, tali dichiarazioni comportano rischi, incertezze e ipotesi che possono far sì che risultati o eventi effettivi differiscano in modo significativo da quanto espresso o suggerito. Questi fattori potrebbero incidere negativamente sugli esiti e sulle conseguenze finanziarie dei piani e degli eventi descritti.</w:t>
      </w:r>
    </w:p>
    <w:p w14:paraId="4B0CCFB7" w14:textId="77777777" w:rsidR="00976712" w:rsidRPr="00FF23BF" w:rsidRDefault="00976712" w:rsidP="00976712">
      <w:pPr>
        <w:pStyle w:val="Hinweis"/>
        <w:rPr>
          <w:lang w:val="it-IT"/>
        </w:rPr>
      </w:pPr>
      <w:r w:rsidRPr="00FF23BF">
        <w:rPr>
          <w:lang w:val="it-IT"/>
        </w:rPr>
        <w:t>Nessuna parte si assume l’obbligo di aggiornare o modificare pubblicamente le dichiarazioni previsionali, sia in seguito a nuove informazioni, eventi futuri o altro. Si invita pertanto a non fare eccessivo affidamento su tali dichiarazioni, che riflettono la situazione alla sola data di pubblicazione del comunicato.</w:t>
      </w:r>
    </w:p>
    <w:p w14:paraId="31D65631" w14:textId="45897CFE" w:rsidR="009C4A6B" w:rsidRPr="00976712" w:rsidRDefault="00976712" w:rsidP="00976712">
      <w:pPr>
        <w:pStyle w:val="Hinweis"/>
        <w:rPr>
          <w:lang w:val="it-IT"/>
        </w:rPr>
      </w:pPr>
      <w:r w:rsidRPr="00FF23BF">
        <w:rPr>
          <w:lang w:val="it-IT"/>
        </w:rPr>
        <w:t>Le affermazioni relative a tendenze o eventi passati non devono essere interpretate come garanzia che tali tendenze o eventi si ripeteranno. Le dichiarazioni cautelative sopra riportate devono essere considerate insieme a qualsiasi successiva dichiarazione previsionale, scritta o orale, rilasciata da Schaeffler o da persone autorizzate a parlare per suo conto</w:t>
      </w:r>
      <w:r w:rsidR="009C4A6B" w:rsidRPr="00976712">
        <w:rPr>
          <w:lang w:val="it-IT"/>
        </w:rPr>
        <w:t>.</w:t>
      </w:r>
    </w:p>
    <w:p w14:paraId="37ECE715" w14:textId="77777777" w:rsidR="009C4A6B" w:rsidRPr="00976712" w:rsidRDefault="009C4A6B" w:rsidP="009031C8">
      <w:pPr>
        <w:pStyle w:val="Hinweis"/>
        <w:rPr>
          <w:lang w:val="it-IT"/>
        </w:rPr>
      </w:pPr>
    </w:p>
    <w:p w14:paraId="78CD6DD0" w14:textId="77777777" w:rsidR="009031C8" w:rsidRPr="00976712" w:rsidRDefault="009031C8" w:rsidP="009031C8">
      <w:pPr>
        <w:pStyle w:val="Hinweis"/>
        <w:rPr>
          <w:lang w:val="it-IT"/>
        </w:rPr>
      </w:pPr>
      <w:r>
        <w:rPr>
          <w:noProof/>
        </w:rPr>
        <mc:AlternateContent>
          <mc:Choice Requires="wps">
            <w:drawing>
              <wp:anchor distT="0" distB="0" distL="114300" distR="114300" simplePos="0" relativeHeight="251658240" behindDoc="0" locked="0" layoutInCell="1" allowOverlap="1" wp14:anchorId="19230E29" wp14:editId="70E2EF31">
                <wp:simplePos x="0" y="0"/>
                <wp:positionH relativeFrom="column">
                  <wp:posOffset>0</wp:posOffset>
                </wp:positionH>
                <wp:positionV relativeFrom="paragraph">
                  <wp:posOffset>0</wp:posOffset>
                </wp:positionV>
                <wp:extent cx="4681728"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113C5F" id="Gerader Verbinde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40733D71" w14:textId="77777777" w:rsidR="00E72738" w:rsidRPr="00E22E07" w:rsidRDefault="00E72738" w:rsidP="00E72738">
      <w:pPr>
        <w:pStyle w:val="Hinweis"/>
        <w:rPr>
          <w:rFonts w:asciiTheme="minorHAnsi" w:hAnsiTheme="minorHAnsi"/>
          <w:b/>
          <w:bCs/>
          <w:lang w:val="it-IT"/>
        </w:rPr>
      </w:pPr>
      <w:r w:rsidRPr="00E22E07">
        <w:rPr>
          <w:rFonts w:asciiTheme="minorHAnsi" w:hAnsiTheme="minorHAnsi"/>
          <w:b/>
          <w:lang w:val="it-IT"/>
        </w:rPr>
        <w:t xml:space="preserve">Gruppo Schaeffler – </w:t>
      </w:r>
      <w:proofErr w:type="spellStart"/>
      <w:r w:rsidRPr="00E22E07">
        <w:rPr>
          <w:rFonts w:asciiTheme="minorHAnsi" w:hAnsiTheme="minorHAnsi"/>
          <w:b/>
          <w:lang w:val="it-IT"/>
        </w:rPr>
        <w:t>We</w:t>
      </w:r>
      <w:proofErr w:type="spellEnd"/>
      <w:r w:rsidRPr="00E22E07">
        <w:rPr>
          <w:rFonts w:asciiTheme="minorHAnsi" w:hAnsiTheme="minorHAnsi"/>
          <w:b/>
          <w:lang w:val="it-IT"/>
        </w:rPr>
        <w:t xml:space="preserve"> </w:t>
      </w:r>
      <w:proofErr w:type="spellStart"/>
      <w:r w:rsidRPr="00E22E07">
        <w:rPr>
          <w:rFonts w:asciiTheme="minorHAnsi" w:hAnsiTheme="minorHAnsi"/>
          <w:b/>
          <w:lang w:val="it-IT"/>
        </w:rPr>
        <w:t>pioneer</w:t>
      </w:r>
      <w:proofErr w:type="spellEnd"/>
      <w:r w:rsidRPr="00E22E07">
        <w:rPr>
          <w:rFonts w:asciiTheme="minorHAnsi" w:hAnsiTheme="minorHAnsi"/>
          <w:b/>
          <w:lang w:val="it-IT"/>
        </w:rPr>
        <w:t xml:space="preserve"> </w:t>
      </w:r>
      <w:proofErr w:type="spellStart"/>
      <w:r w:rsidRPr="00E22E07">
        <w:rPr>
          <w:rFonts w:asciiTheme="minorHAnsi" w:hAnsiTheme="minorHAnsi"/>
          <w:b/>
          <w:lang w:val="it-IT"/>
        </w:rPr>
        <w:t>motion</w:t>
      </w:r>
      <w:proofErr w:type="spellEnd"/>
    </w:p>
    <w:p w14:paraId="2008FDBB" w14:textId="68A5D803" w:rsidR="00E72738" w:rsidRPr="005F73AB" w:rsidRDefault="00E72738" w:rsidP="00E72738">
      <w:pPr>
        <w:pStyle w:val="Hinweisfett"/>
        <w:rPr>
          <w:b w:val="0"/>
          <w:lang w:val="it-IT"/>
        </w:rPr>
      </w:pPr>
      <w:r w:rsidRPr="002B59CC">
        <w:rPr>
          <w:b w:val="0"/>
          <w:lang w:val="it-IT"/>
        </w:rPr>
        <w:t>Il</w:t>
      </w:r>
      <w:r w:rsidRPr="005F73AB">
        <w:rPr>
          <w:b w:val="0"/>
          <w:lang w:val="it-IT"/>
        </w:rPr>
        <w:t xml:space="preserve"> Gruppo Schaeffler guida innovazioni e sviluppi rivoluzionari nel </w:t>
      </w:r>
      <w:r w:rsidRPr="002B59CC">
        <w:rPr>
          <w:b w:val="0"/>
          <w:lang w:val="it-IT"/>
        </w:rPr>
        <w:t>settore d</w:t>
      </w:r>
      <w:r w:rsidRPr="005F73AB">
        <w:rPr>
          <w:b w:val="0"/>
          <w:lang w:val="it-IT"/>
        </w:rPr>
        <w:t xml:space="preserve">ella </w:t>
      </w:r>
      <w:r w:rsidRPr="002B59CC">
        <w:rPr>
          <w:b w:val="0"/>
          <w:lang w:val="it-IT"/>
        </w:rPr>
        <w:t>Motion Technology d</w:t>
      </w:r>
      <w:r w:rsidRPr="005F73AB">
        <w:rPr>
          <w:b w:val="0"/>
          <w:lang w:val="it-IT"/>
        </w:rPr>
        <w:t xml:space="preserve">a oltre </w:t>
      </w:r>
      <w:r>
        <w:rPr>
          <w:b w:val="0"/>
          <w:lang w:val="it-IT"/>
        </w:rPr>
        <w:t>80</w:t>
      </w:r>
      <w:r w:rsidRPr="005F73AB">
        <w:rPr>
          <w:b w:val="0"/>
          <w:lang w:val="it-IT"/>
        </w:rPr>
        <w:t xml:space="preserve"> anni. Grazie a tecnologie, prodotti e servizi all’avanguardia </w:t>
      </w:r>
      <w:r w:rsidRPr="002B59CC">
        <w:rPr>
          <w:b w:val="0"/>
          <w:lang w:val="it-IT"/>
        </w:rPr>
        <w:t>nel campo della</w:t>
      </w:r>
      <w:r w:rsidRPr="005F73AB">
        <w:rPr>
          <w:b w:val="0"/>
          <w:lang w:val="it-IT"/>
        </w:rPr>
        <w:t xml:space="preserve"> mobilità elettrica, </w:t>
      </w:r>
      <w:r w:rsidRPr="002B59CC">
        <w:rPr>
          <w:b w:val="0"/>
          <w:lang w:val="it-IT"/>
        </w:rPr>
        <w:t>delle trasmissioni a basse emissioni di</w:t>
      </w:r>
      <w:r w:rsidRPr="005F73AB">
        <w:rPr>
          <w:b w:val="0"/>
          <w:lang w:val="it-IT"/>
        </w:rPr>
        <w:t xml:space="preserve"> CO₂, </w:t>
      </w:r>
      <w:r w:rsidRPr="002B59CC">
        <w:rPr>
          <w:b w:val="0"/>
          <w:lang w:val="it-IT"/>
        </w:rPr>
        <w:t>del</w:t>
      </w:r>
      <w:r w:rsidRPr="005F73AB">
        <w:rPr>
          <w:b w:val="0"/>
          <w:lang w:val="it-IT"/>
        </w:rPr>
        <w:t xml:space="preserve">le soluzioni per </w:t>
      </w:r>
      <w:r w:rsidRPr="002B59CC">
        <w:rPr>
          <w:b w:val="0"/>
          <w:lang w:val="it-IT"/>
        </w:rPr>
        <w:t>chassis e delle</w:t>
      </w:r>
      <w:r w:rsidRPr="005F73AB">
        <w:rPr>
          <w:b w:val="0"/>
          <w:lang w:val="it-IT"/>
        </w:rPr>
        <w:t xml:space="preserve"> energie rinnovabili, l’azienda è un partner affidabile nel rendere il movimento più efficiente, intelligente e sostenibile lungo l’intero ciclo di vita.</w:t>
      </w:r>
    </w:p>
    <w:p w14:paraId="737577FC" w14:textId="556D63DC" w:rsidR="0037142E" w:rsidRPr="00E72738" w:rsidRDefault="00E72738" w:rsidP="00E72738">
      <w:pPr>
        <w:pStyle w:val="Hinweis"/>
        <w:rPr>
          <w:lang w:val="it-IT"/>
        </w:rPr>
      </w:pPr>
      <w:r w:rsidRPr="005F73AB">
        <w:rPr>
          <w:lang w:val="it-IT"/>
        </w:rPr>
        <w:t>Schaeffler articola la sua</w:t>
      </w:r>
      <w:r w:rsidRPr="002B59CC">
        <w:rPr>
          <w:lang w:val="it-IT"/>
        </w:rPr>
        <w:t xml:space="preserve"> ampia</w:t>
      </w:r>
      <w:r w:rsidRPr="005F73AB">
        <w:rPr>
          <w:lang w:val="it-IT"/>
        </w:rPr>
        <w:t xml:space="preserve"> offerta in otto famiglie di prodotti che spaziano dalle soluzioni di cuscinetti e dai sistemi di guida lineare a servizi di riparazione e monitoraggio. Con circa 110.000 </w:t>
      </w:r>
      <w:r w:rsidRPr="002B59CC">
        <w:rPr>
          <w:lang w:val="it-IT"/>
        </w:rPr>
        <w:t xml:space="preserve">collaboratori </w:t>
      </w:r>
      <w:r w:rsidRPr="005F73AB">
        <w:rPr>
          <w:lang w:val="it-IT"/>
        </w:rPr>
        <w:t xml:space="preserve">e oltre 250 sedi in 55 Paesi, il Gruppo è una delle maggiori aziende </w:t>
      </w:r>
      <w:r w:rsidRPr="002B59CC">
        <w:rPr>
          <w:lang w:val="it-IT"/>
        </w:rPr>
        <w:t>familiari</w:t>
      </w:r>
      <w:r w:rsidRPr="005F73AB">
        <w:rPr>
          <w:lang w:val="it-IT"/>
        </w:rPr>
        <w:t xml:space="preserve"> al mondo e figura tra le realtà più innovative della Germania</w:t>
      </w:r>
      <w:r w:rsidR="002357F0">
        <w:rPr>
          <w:lang w:val="it-IT"/>
        </w:rPr>
        <w:t>.</w:t>
      </w:r>
      <w:r w:rsidR="0037142E" w:rsidRPr="00E72738">
        <w:rPr>
          <w:rFonts w:asciiTheme="minorHAnsi" w:hAnsiTheme="minorHAnsi"/>
          <w:lang w:val="it-IT"/>
        </w:rPr>
        <w:br/>
      </w:r>
    </w:p>
    <w:p w14:paraId="7C8901F8" w14:textId="77777777" w:rsidR="0037142E" w:rsidRPr="00E72738" w:rsidRDefault="0037142E" w:rsidP="0037142E">
      <w:pPr>
        <w:pStyle w:val="Hinweis"/>
        <w:rPr>
          <w:lang w:val="it-IT"/>
        </w:rPr>
      </w:pPr>
      <w:r>
        <w:rPr>
          <w:noProof/>
        </w:rPr>
        <mc:AlternateContent>
          <mc:Choice Requires="wps">
            <w:drawing>
              <wp:anchor distT="0" distB="0" distL="114300" distR="114300" simplePos="0" relativeHeight="251658241" behindDoc="0" locked="0" layoutInCell="1" allowOverlap="1" wp14:anchorId="2C022EB7" wp14:editId="6AC6E371">
                <wp:simplePos x="0" y="0"/>
                <wp:positionH relativeFrom="column">
                  <wp:posOffset>0</wp:posOffset>
                </wp:positionH>
                <wp:positionV relativeFrom="paragraph">
                  <wp:posOffset>0</wp:posOffset>
                </wp:positionV>
                <wp:extent cx="468172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E463E"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F1D7803" w14:textId="77777777" w:rsidR="0037142E" w:rsidRPr="00E72738" w:rsidRDefault="0037142E" w:rsidP="0037142E">
      <w:pPr>
        <w:spacing w:before="0"/>
        <w:rPr>
          <w:rStyle w:val="Enfasigrassetto"/>
          <w:sz w:val="16"/>
          <w:szCs w:val="16"/>
          <w:lang w:val="it-IT"/>
        </w:rPr>
      </w:pPr>
    </w:p>
    <w:p w14:paraId="506BF9F6" w14:textId="77777777" w:rsidR="00A22811" w:rsidRPr="00E72738" w:rsidRDefault="00A22811" w:rsidP="0037142E">
      <w:pPr>
        <w:spacing w:before="0"/>
        <w:rPr>
          <w:rStyle w:val="Enfasigrassetto"/>
          <w:sz w:val="16"/>
          <w:szCs w:val="16"/>
          <w:lang w:val="it-IT"/>
        </w:rPr>
      </w:pPr>
    </w:p>
    <w:p w14:paraId="58460EC3" w14:textId="77777777" w:rsidR="00A22811" w:rsidRPr="00E72738" w:rsidRDefault="00A22811" w:rsidP="0037142E">
      <w:pPr>
        <w:spacing w:before="0"/>
        <w:rPr>
          <w:rStyle w:val="Enfasigrassetto"/>
          <w:sz w:val="16"/>
          <w:szCs w:val="16"/>
          <w:lang w:val="it-IT"/>
        </w:rPr>
      </w:pPr>
    </w:p>
    <w:p w14:paraId="35C23B39" w14:textId="77777777" w:rsidR="00A22811" w:rsidRPr="00E72738" w:rsidRDefault="00A22811" w:rsidP="0037142E">
      <w:pPr>
        <w:spacing w:before="0"/>
        <w:rPr>
          <w:rStyle w:val="Enfasigrassetto"/>
          <w:sz w:val="16"/>
          <w:szCs w:val="16"/>
          <w:lang w:val="it-IT"/>
        </w:rPr>
      </w:pPr>
    </w:p>
    <w:p w14:paraId="3DAEF95D" w14:textId="77777777" w:rsidR="00976712" w:rsidRPr="00E72738" w:rsidRDefault="00976712" w:rsidP="0037142E">
      <w:pPr>
        <w:spacing w:before="0"/>
        <w:rPr>
          <w:rStyle w:val="Enfasigrassetto"/>
          <w:sz w:val="16"/>
          <w:szCs w:val="16"/>
          <w:lang w:val="it-IT"/>
        </w:rPr>
      </w:pPr>
    </w:p>
    <w:p w14:paraId="4E00F36C" w14:textId="77777777" w:rsidR="00976712" w:rsidRPr="00E72738" w:rsidRDefault="00976712" w:rsidP="0037142E">
      <w:pPr>
        <w:spacing w:before="0"/>
        <w:rPr>
          <w:rStyle w:val="Enfasigrassetto"/>
          <w:sz w:val="16"/>
          <w:szCs w:val="16"/>
          <w:lang w:val="it-IT"/>
        </w:rPr>
      </w:pPr>
    </w:p>
    <w:p w14:paraId="02A4BFC0" w14:textId="77777777" w:rsidR="00976712" w:rsidRPr="00E72738" w:rsidRDefault="00976712" w:rsidP="0037142E">
      <w:pPr>
        <w:spacing w:before="0"/>
        <w:rPr>
          <w:rStyle w:val="Enfasigrassetto"/>
          <w:sz w:val="16"/>
          <w:szCs w:val="16"/>
          <w:lang w:val="it-IT"/>
        </w:rPr>
      </w:pPr>
    </w:p>
    <w:p w14:paraId="3D4D44DD" w14:textId="77777777" w:rsidR="00A22811" w:rsidRPr="00E72738" w:rsidRDefault="00A22811" w:rsidP="0037142E">
      <w:pPr>
        <w:spacing w:before="0"/>
        <w:rPr>
          <w:rStyle w:val="Enfasigrassetto"/>
          <w:sz w:val="16"/>
          <w:szCs w:val="16"/>
          <w:lang w:val="it-IT"/>
        </w:rPr>
      </w:pPr>
    </w:p>
    <w:p w14:paraId="2E8161B9" w14:textId="472DF200" w:rsidR="0037142E" w:rsidRDefault="00550E06" w:rsidP="0037142E">
      <w:pPr>
        <w:spacing w:before="0"/>
        <w:rPr>
          <w:rStyle w:val="Enfasigrassetto"/>
        </w:rPr>
      </w:pPr>
      <w:r>
        <w:rPr>
          <w:rStyle w:val="Enfasigrassetto"/>
        </w:rPr>
        <w:t>Contatti</w:t>
      </w:r>
    </w:p>
    <w:p w14:paraId="348EC09D" w14:textId="77777777" w:rsidR="0037142E" w:rsidRDefault="0037142E" w:rsidP="0037142E">
      <w:pPr>
        <w:spacing w:before="0"/>
        <w:rPr>
          <w:rStyle w:val="Enfasigrassetto"/>
        </w:rPr>
      </w:pPr>
    </w:p>
    <w:tbl>
      <w:tblPr>
        <w:tblStyle w:val="Grigliatabel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62"/>
        <w:gridCol w:w="141"/>
        <w:gridCol w:w="3544"/>
      </w:tblGrid>
      <w:tr w:rsidR="00C74DA8" w:rsidRPr="00B766EA" w14:paraId="2F3B7F17" w14:textId="77777777" w:rsidTr="00C74DA8">
        <w:tc>
          <w:tcPr>
            <w:tcW w:w="4962" w:type="dxa"/>
          </w:tcPr>
          <w:p w14:paraId="638008AC" w14:textId="77777777" w:rsidR="00C74DA8" w:rsidRPr="0048383E" w:rsidRDefault="00C74DA8" w:rsidP="0059347E">
            <w:pPr>
              <w:autoSpaceDE w:val="0"/>
              <w:autoSpaceDN w:val="0"/>
              <w:adjustRightInd w:val="0"/>
              <w:spacing w:before="0"/>
              <w:ind w:right="282"/>
              <w:rPr>
                <w:rStyle w:val="Enfasigrassetto"/>
              </w:rPr>
            </w:pPr>
            <w:r>
              <w:rPr>
                <w:rStyle w:val="Enfasigrassetto"/>
              </w:rPr>
              <w:t>Dr. Axel Lüdeke</w:t>
            </w:r>
          </w:p>
          <w:p w14:paraId="41D98CD2" w14:textId="36313E39" w:rsidR="00C74DA8" w:rsidRDefault="00C74DA8" w:rsidP="0059347E">
            <w:pPr>
              <w:autoSpaceDE w:val="0"/>
              <w:autoSpaceDN w:val="0"/>
              <w:adjustRightInd w:val="0"/>
              <w:spacing w:before="0"/>
              <w:ind w:right="282"/>
            </w:pPr>
            <w:r>
              <w:t xml:space="preserve">Head of Group Communications &amp; Public Affairs </w:t>
            </w:r>
          </w:p>
          <w:p w14:paraId="51FC2210" w14:textId="77777777" w:rsidR="00C74DA8" w:rsidRPr="008F6C18" w:rsidRDefault="00C74DA8" w:rsidP="0059347E">
            <w:pPr>
              <w:autoSpaceDE w:val="0"/>
              <w:autoSpaceDN w:val="0"/>
              <w:adjustRightInd w:val="0"/>
              <w:spacing w:before="0"/>
              <w:ind w:right="282"/>
              <w:rPr>
                <w:lang w:val="de-DE"/>
              </w:rPr>
            </w:pPr>
            <w:r w:rsidRPr="008F6C18">
              <w:rPr>
                <w:lang w:val="de-DE"/>
              </w:rPr>
              <w:t xml:space="preserve">Schaeffler AG, Herzogenaurach, </w:t>
            </w:r>
          </w:p>
          <w:p w14:paraId="50B3AE7B" w14:textId="77777777" w:rsidR="00C74DA8" w:rsidRPr="008F6C18" w:rsidRDefault="00C74DA8" w:rsidP="0059347E">
            <w:pPr>
              <w:autoSpaceDE w:val="0"/>
              <w:autoSpaceDN w:val="0"/>
              <w:adjustRightInd w:val="0"/>
              <w:spacing w:before="0"/>
              <w:ind w:right="282"/>
              <w:rPr>
                <w:lang w:val="de-DE"/>
              </w:rPr>
            </w:pPr>
            <w:r w:rsidRPr="008F6C18">
              <w:rPr>
                <w:lang w:val="de-DE"/>
              </w:rPr>
              <w:t>Germany</w:t>
            </w:r>
          </w:p>
          <w:p w14:paraId="18398964" w14:textId="77777777" w:rsidR="00C74DA8" w:rsidRPr="008F6C18" w:rsidRDefault="00C74DA8" w:rsidP="0059347E">
            <w:pPr>
              <w:ind w:right="282"/>
              <w:rPr>
                <w:lang w:val="de-DE"/>
              </w:rPr>
            </w:pPr>
            <w:r>
              <w:rPr>
                <w:noProof/>
              </w:rPr>
              <w:drawing>
                <wp:inline distT="0" distB="0" distL="0" distR="0" wp14:anchorId="6B105265" wp14:editId="6C35DFB4">
                  <wp:extent cx="129600" cy="12960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2"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8F6C18">
              <w:rPr>
                <w:lang w:val="de-DE"/>
              </w:rPr>
              <w:t xml:space="preserve">  +49 9132 82 8901</w:t>
            </w:r>
          </w:p>
          <w:p w14:paraId="72587999" w14:textId="77777777" w:rsidR="00C74DA8" w:rsidRPr="008F6C18" w:rsidRDefault="00C74DA8" w:rsidP="0059347E">
            <w:pPr>
              <w:spacing w:before="0"/>
              <w:ind w:right="282"/>
              <w:rPr>
                <w:rStyle w:val="Collegamentoipertestuale"/>
                <w:lang w:val="de-DE"/>
              </w:rPr>
            </w:pPr>
            <w:r>
              <w:rPr>
                <w:noProof/>
                <w:sz w:val="20"/>
              </w:rPr>
              <w:drawing>
                <wp:inline distT="0" distB="0" distL="0" distR="0" wp14:anchorId="69D3F5B3" wp14:editId="0385B0DE">
                  <wp:extent cx="136800" cy="936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8F6C18">
              <w:rPr>
                <w:sz w:val="20"/>
                <w:lang w:val="de-DE"/>
              </w:rPr>
              <w:t xml:space="preserve">  </w:t>
            </w:r>
            <w:hyperlink r:id="rId14" w:history="1">
              <w:r w:rsidRPr="008F6C18">
                <w:rPr>
                  <w:rStyle w:val="Collegamentoipertestuale"/>
                  <w:lang w:val="de-DE"/>
                </w:rPr>
                <w:t>axel.luedeke@schaeffler.com</w:t>
              </w:r>
            </w:hyperlink>
          </w:p>
          <w:p w14:paraId="473DCC3B" w14:textId="77777777" w:rsidR="00C74DA8" w:rsidRPr="008F6C18" w:rsidRDefault="00C74DA8" w:rsidP="0059347E">
            <w:pPr>
              <w:spacing w:before="0"/>
              <w:ind w:right="282"/>
              <w:rPr>
                <w:rStyle w:val="Enfasigrassetto"/>
                <w:b w:val="0"/>
                <w:bCs w:val="0"/>
                <w:color w:val="00893D" w:themeColor="background2"/>
                <w:sz w:val="12"/>
                <w:szCs w:val="12"/>
                <w:lang w:val="de-DE"/>
              </w:rPr>
            </w:pPr>
          </w:p>
        </w:tc>
        <w:tc>
          <w:tcPr>
            <w:tcW w:w="141" w:type="dxa"/>
          </w:tcPr>
          <w:p w14:paraId="5E6619B1" w14:textId="77777777" w:rsidR="00C74DA8" w:rsidRPr="008F6C18" w:rsidRDefault="00C74DA8" w:rsidP="00C74DA8">
            <w:pPr>
              <w:autoSpaceDE w:val="0"/>
              <w:autoSpaceDN w:val="0"/>
              <w:adjustRightInd w:val="0"/>
              <w:spacing w:before="0"/>
              <w:ind w:left="144"/>
              <w:rPr>
                <w:rStyle w:val="Enfasigrassetto"/>
                <w:lang w:val="de-DE"/>
              </w:rPr>
            </w:pPr>
          </w:p>
        </w:tc>
        <w:tc>
          <w:tcPr>
            <w:tcW w:w="3544" w:type="dxa"/>
          </w:tcPr>
          <w:p w14:paraId="219724DA" w14:textId="0D7F0EC3" w:rsidR="00C74DA8" w:rsidRPr="008F6C18" w:rsidRDefault="00C74DA8" w:rsidP="00C74DA8">
            <w:pPr>
              <w:autoSpaceDE w:val="0"/>
              <w:autoSpaceDN w:val="0"/>
              <w:adjustRightInd w:val="0"/>
              <w:spacing w:before="0"/>
              <w:ind w:left="144"/>
              <w:rPr>
                <w:rStyle w:val="Enfasigrassetto"/>
                <w:lang w:val="de-DE"/>
              </w:rPr>
            </w:pPr>
            <w:r w:rsidRPr="008F6C18">
              <w:rPr>
                <w:rStyle w:val="Enfasigrassetto"/>
                <w:lang w:val="de-DE"/>
              </w:rPr>
              <w:t>Heiko Eber</w:t>
            </w:r>
          </w:p>
          <w:p w14:paraId="088CF9E2" w14:textId="5F53A586" w:rsidR="00C74DA8" w:rsidRPr="008F6C18" w:rsidRDefault="00C74DA8" w:rsidP="003C34C4">
            <w:pPr>
              <w:autoSpaceDE w:val="0"/>
              <w:autoSpaceDN w:val="0"/>
              <w:adjustRightInd w:val="0"/>
              <w:spacing w:before="0"/>
              <w:ind w:left="144"/>
              <w:rPr>
                <w:lang w:val="de-DE"/>
              </w:rPr>
            </w:pPr>
            <w:r w:rsidRPr="008F6C18">
              <w:rPr>
                <w:lang w:val="de-DE"/>
              </w:rPr>
              <w:t xml:space="preserve">Head </w:t>
            </w:r>
            <w:proofErr w:type="spellStart"/>
            <w:r w:rsidRPr="008F6C18">
              <w:rPr>
                <w:lang w:val="de-DE"/>
              </w:rPr>
              <w:t>of</w:t>
            </w:r>
            <w:proofErr w:type="spellEnd"/>
            <w:r w:rsidRPr="008F6C18">
              <w:rPr>
                <w:lang w:val="de-DE"/>
              </w:rPr>
              <w:t xml:space="preserve"> Investor Relations</w:t>
            </w:r>
            <w:r w:rsidRPr="008F6C18">
              <w:rPr>
                <w:lang w:val="de-DE"/>
              </w:rPr>
              <w:br/>
              <w:t>Schaeffler AG, Herzogenaurach, Germany</w:t>
            </w:r>
          </w:p>
          <w:p w14:paraId="235B0AED" w14:textId="12205332" w:rsidR="00C74DA8" w:rsidRPr="00C74DA8" w:rsidRDefault="00C74DA8" w:rsidP="00C74DA8">
            <w:pPr>
              <w:ind w:left="144" w:right="284"/>
              <w:rPr>
                <w:rStyle w:val="Collegamentoipertestuale"/>
              </w:rPr>
            </w:pPr>
            <w:r>
              <w:rPr>
                <w:noProof/>
              </w:rPr>
              <w:drawing>
                <wp:inline distT="0" distB="0" distL="0" distR="0" wp14:anchorId="0E8764D7" wp14:editId="2DC24D68">
                  <wp:extent cx="129540" cy="129540"/>
                  <wp:effectExtent l="0" t="0" r="3810" b="3810"/>
                  <wp:docPr id="7275583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+49 9132 82 88125</w:t>
            </w:r>
            <w:r>
              <w:br/>
            </w:r>
            <w:r>
              <w:rPr>
                <w:noProof/>
                <w:sz w:val="20"/>
              </w:rPr>
              <w:drawing>
                <wp:inline distT="0" distB="0" distL="0" distR="0" wp14:anchorId="7B345468" wp14:editId="66BADC96">
                  <wp:extent cx="137160" cy="91440"/>
                  <wp:effectExtent l="0" t="0" r="0" b="3810"/>
                  <wp:docPr id="8412810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91440"/>
                          </a:xfrm>
                          <a:prstGeom prst="rect">
                            <a:avLst/>
                          </a:prstGeom>
                          <a:noFill/>
                          <a:ln>
                            <a:noFill/>
                          </a:ln>
                        </pic:spPr>
                      </pic:pic>
                    </a:graphicData>
                  </a:graphic>
                </wp:inline>
              </w:drawing>
            </w:r>
            <w:r>
              <w:rPr>
                <w:sz w:val="20"/>
              </w:rPr>
              <w:t xml:space="preserve">  </w:t>
            </w:r>
            <w:hyperlink r:id="rId15" w:history="1">
              <w:r w:rsidRPr="009C4A6B">
                <w:rPr>
                  <w:rStyle w:val="Collegamentoipertestuale"/>
                </w:rPr>
                <w:t>heiko.eber@schaeffler.com</w:t>
              </w:r>
            </w:hyperlink>
          </w:p>
          <w:p w14:paraId="5ED868DB" w14:textId="77777777" w:rsidR="00C74DA8" w:rsidRDefault="00C74DA8" w:rsidP="00766EAB">
            <w:pPr>
              <w:ind w:left="144" w:right="284"/>
              <w:rPr>
                <w:rStyle w:val="Enfasigrassetto"/>
                <w:sz w:val="20"/>
                <w:szCs w:val="20"/>
              </w:rPr>
            </w:pPr>
          </w:p>
        </w:tc>
      </w:tr>
      <w:tr w:rsidR="00C74DA8" w:rsidRPr="00185D94" w14:paraId="29EA2F4C" w14:textId="77777777" w:rsidTr="00C74DA8">
        <w:tc>
          <w:tcPr>
            <w:tcW w:w="4962" w:type="dxa"/>
          </w:tcPr>
          <w:p w14:paraId="18875905" w14:textId="77777777" w:rsidR="00C74DA8" w:rsidRPr="00185D94" w:rsidRDefault="00C74DA8" w:rsidP="0059347E">
            <w:pPr>
              <w:autoSpaceDE w:val="0"/>
              <w:autoSpaceDN w:val="0"/>
              <w:adjustRightInd w:val="0"/>
            </w:pPr>
            <w:r>
              <w:rPr>
                <w:rStyle w:val="Enfasigrassetto"/>
              </w:rPr>
              <w:t>Matthias Herms</w:t>
            </w:r>
            <w:r>
              <w:rPr>
                <w:rStyle w:val="Enfasigrassetto"/>
              </w:rPr>
              <w:br/>
            </w:r>
            <w:r>
              <w:t>Head of Communications Finance, CSR and Sustainability</w:t>
            </w:r>
            <w:r>
              <w:br/>
              <w:t>Schaeffler AG, Herzogenaurach, Germany</w:t>
            </w:r>
          </w:p>
          <w:p w14:paraId="1B6EC91E" w14:textId="77777777" w:rsidR="00C74DA8" w:rsidRDefault="00C74DA8" w:rsidP="0059347E">
            <w:pPr>
              <w:autoSpaceDE w:val="0"/>
              <w:autoSpaceDN w:val="0"/>
              <w:adjustRightInd w:val="0"/>
              <w:spacing w:before="0"/>
              <w:ind w:right="282"/>
              <w:rPr>
                <w:rStyle w:val="Enfasigrassetto"/>
              </w:rPr>
            </w:pPr>
            <w:r>
              <w:rPr>
                <w:noProof/>
                <w:sz w:val="20"/>
              </w:rPr>
              <w:drawing>
                <wp:inline distT="0" distB="0" distL="0" distR="0" wp14:anchorId="26AB67CA" wp14:editId="18B9691B">
                  <wp:extent cx="129600" cy="129600"/>
                  <wp:effectExtent l="0" t="0" r="3810" b="381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2"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Pr>
                <w:sz w:val="20"/>
              </w:rPr>
              <w:t xml:space="preserve">  </w:t>
            </w:r>
            <w:r>
              <w:t>+49 9132 82 37314</w:t>
            </w:r>
            <w:r>
              <w:br/>
            </w:r>
            <w:r>
              <w:rPr>
                <w:noProof/>
              </w:rPr>
              <w:drawing>
                <wp:inline distT="0" distB="0" distL="0" distR="0" wp14:anchorId="1C01F78B" wp14:editId="128254F5">
                  <wp:extent cx="136800" cy="93600"/>
                  <wp:effectExtent l="0" t="0" r="0" b="190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t xml:space="preserve">  </w:t>
            </w:r>
            <w:hyperlink r:id="rId16" w:history="1">
              <w:r>
                <w:rPr>
                  <w:rStyle w:val="Collegamentoipertestuale"/>
                </w:rPr>
                <w:t>matthias.herms@schaeffler.com</w:t>
              </w:r>
            </w:hyperlink>
            <w:r>
              <w:rPr>
                <w:sz w:val="20"/>
              </w:rPr>
              <w:br/>
            </w:r>
          </w:p>
        </w:tc>
        <w:tc>
          <w:tcPr>
            <w:tcW w:w="141" w:type="dxa"/>
          </w:tcPr>
          <w:p w14:paraId="5B3144F4" w14:textId="77777777" w:rsidR="00C74DA8" w:rsidRPr="00D764A7" w:rsidRDefault="00C74DA8" w:rsidP="0059347E">
            <w:pPr>
              <w:autoSpaceDE w:val="0"/>
              <w:autoSpaceDN w:val="0"/>
              <w:adjustRightInd w:val="0"/>
              <w:spacing w:before="0"/>
              <w:ind w:left="144"/>
              <w:rPr>
                <w:color w:val="00893D" w:themeColor="background2"/>
              </w:rPr>
            </w:pPr>
          </w:p>
        </w:tc>
        <w:tc>
          <w:tcPr>
            <w:tcW w:w="3544" w:type="dxa"/>
          </w:tcPr>
          <w:p w14:paraId="4DAABB8F" w14:textId="19BF4E73" w:rsidR="00C74DA8" w:rsidRDefault="00C74DA8" w:rsidP="0059347E">
            <w:pPr>
              <w:autoSpaceDE w:val="0"/>
              <w:autoSpaceDN w:val="0"/>
              <w:adjustRightInd w:val="0"/>
              <w:spacing w:before="0"/>
              <w:ind w:left="144"/>
              <w:rPr>
                <w:rStyle w:val="Enfasigrassetto"/>
              </w:rPr>
            </w:pPr>
            <w:r>
              <w:rPr>
                <w:color w:val="00893D" w:themeColor="background2"/>
              </w:rPr>
              <w:br/>
            </w:r>
          </w:p>
        </w:tc>
      </w:tr>
    </w:tbl>
    <w:p w14:paraId="182541FD" w14:textId="77777777" w:rsidR="0037142E" w:rsidRDefault="0037142E" w:rsidP="0037142E">
      <w:pPr>
        <w:pStyle w:val="Hinweis"/>
        <w:rPr>
          <w:lang w:val="de-DE"/>
        </w:rPr>
      </w:pPr>
    </w:p>
    <w:p w14:paraId="68615668" w14:textId="77777777" w:rsidR="0037142E" w:rsidRDefault="0037142E" w:rsidP="0037142E">
      <w:pPr>
        <w:pStyle w:val="Hinweis"/>
      </w:pPr>
      <w:r>
        <w:rPr>
          <w:noProof/>
        </w:rPr>
        <mc:AlternateContent>
          <mc:Choice Requires="wps">
            <w:drawing>
              <wp:anchor distT="0" distB="0" distL="114300" distR="114300" simplePos="0" relativeHeight="251658242" behindDoc="0" locked="0" layoutInCell="1" allowOverlap="1" wp14:anchorId="3BC30A45" wp14:editId="446DBAC7">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DCF06"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793CC944" w14:textId="77777777" w:rsidR="0037142E" w:rsidRPr="00185D94" w:rsidRDefault="0037142E" w:rsidP="0037142E">
      <w:pPr>
        <w:spacing w:line="240" w:lineRule="auto"/>
      </w:pPr>
      <w:bookmarkStart w:id="1" w:name="_Hlk149827070"/>
      <w:r>
        <w:rPr>
          <w:noProof/>
        </w:rPr>
        <w:drawing>
          <wp:inline distT="0" distB="0" distL="0" distR="0" wp14:anchorId="40A34999" wp14:editId="534B3C3C">
            <wp:extent cx="252000" cy="252000"/>
            <wp:effectExtent l="0" t="0" r="0" b="0"/>
            <wp:docPr id="15" name="Grafik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17"/>
                    </pic:cNvPr>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rFonts w:ascii="Calibri" w:hAnsi="Calibri"/>
          <w:noProof/>
        </w:rPr>
        <w:drawing>
          <wp:inline distT="0" distB="0" distL="0" distR="0" wp14:anchorId="0852B8D8" wp14:editId="6889F149">
            <wp:extent cx="252000" cy="252000"/>
            <wp:effectExtent l="0" t="0" r="0" b="0"/>
            <wp:docPr id="17" name="Grafik 1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19"/>
                    </pic:cNvP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0EFA6DEA" wp14:editId="38576F2B">
            <wp:extent cx="248889" cy="252000"/>
            <wp:effectExtent l="0" t="0" r="0" b="0"/>
            <wp:docPr id="28" name="Grafik 2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21"/>
                    </pic:cNvP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t xml:space="preserve">    </w:t>
      </w:r>
      <w:r>
        <w:rPr>
          <w:rFonts w:ascii="Calibri" w:hAnsi="Calibri"/>
          <w:noProof/>
        </w:rPr>
        <w:drawing>
          <wp:inline distT="0" distB="0" distL="0" distR="0" wp14:anchorId="0D509134" wp14:editId="66DF1D6D">
            <wp:extent cx="252000" cy="252000"/>
            <wp:effectExtent l="0" t="0" r="0" b="0"/>
            <wp:docPr id="21" name="Grafik 2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3"/>
                    </pic:cNvP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1878DEE1" wp14:editId="700B1003">
            <wp:extent cx="252000" cy="252000"/>
            <wp:effectExtent l="0" t="0" r="0" b="0"/>
            <wp:docPr id="29" name="Grafik 2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5"/>
                    </pic:cNvP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73723EB8" wp14:editId="00DD0DF6">
            <wp:extent cx="252000" cy="252000"/>
            <wp:effectExtent l="0" t="0" r="0" b="0"/>
            <wp:docPr id="30" name="Grafik 3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27"/>
                    </pic:cNvP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1"/>
    </w:p>
    <w:p w14:paraId="0673388F" w14:textId="37ED3C82" w:rsidR="00993A43" w:rsidRPr="005E4E62" w:rsidRDefault="00993A43" w:rsidP="0037142E">
      <w:pPr>
        <w:pStyle w:val="Hinweisfett"/>
        <w:jc w:val="both"/>
        <w:rPr>
          <w:rFonts w:ascii="Calibri" w:hAnsi="Calibri"/>
        </w:rPr>
      </w:pPr>
    </w:p>
    <w:sectPr w:rsidR="00993A43" w:rsidRPr="005E4E62" w:rsidSect="0033108C">
      <w:headerReference w:type="default" r:id="rId29"/>
      <w:footerReference w:type="default" r:id="rId30"/>
      <w:headerReference w:type="first" r:id="rId31"/>
      <w:footerReference w:type="first" r:id="rId32"/>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41ED" w14:textId="77777777" w:rsidR="0027445D" w:rsidRDefault="0027445D" w:rsidP="00DF6567">
      <w:pPr>
        <w:spacing w:line="240" w:lineRule="auto"/>
      </w:pPr>
      <w:r>
        <w:separator/>
      </w:r>
    </w:p>
  </w:endnote>
  <w:endnote w:type="continuationSeparator" w:id="0">
    <w:p w14:paraId="46CA9F0E" w14:textId="77777777" w:rsidR="0027445D" w:rsidRDefault="0027445D" w:rsidP="00DF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120898"/>
      <w:docPartObj>
        <w:docPartGallery w:val="Page Numbers (Bottom of Page)"/>
        <w:docPartUnique/>
      </w:docPartObj>
    </w:sdtPr>
    <w:sdtEndPr/>
    <w:sdtContent>
      <w:p w14:paraId="6ABB7735" w14:textId="77777777" w:rsidR="006A5C61" w:rsidRDefault="006A5C61" w:rsidP="000A262F">
        <w:pPr>
          <w:pStyle w:val="BU"/>
        </w:pPr>
        <w:r w:rsidRPr="00AB5AB6">
          <w:fldChar w:fldCharType="begin"/>
        </w:r>
        <w:r w:rsidRPr="00AB5AB6">
          <w:instrText>PAGE   \* MERGEFORMAT</w:instrText>
        </w:r>
        <w:r w:rsidRPr="00AB5AB6">
          <w:fldChar w:fldCharType="separate"/>
        </w:r>
        <w:r w:rsidR="00A544B3">
          <w:t>2</w:t>
        </w:r>
        <w:r w:rsidRPr="00AB5AB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5280"/>
      <w:docPartObj>
        <w:docPartGallery w:val="Page Numbers (Bottom of Page)"/>
        <w:docPartUnique/>
      </w:docPartObj>
    </w:sdtPr>
    <w:sdtEndPr/>
    <w:sdtContent>
      <w:p w14:paraId="61069D6C" w14:textId="77777777" w:rsidR="00026162" w:rsidRDefault="00026162" w:rsidP="000A262F">
        <w:pPr>
          <w:pStyle w:val="BU"/>
        </w:pPr>
        <w:r>
          <w:fldChar w:fldCharType="begin"/>
        </w:r>
        <w:r>
          <w:instrText>PAGE   \* MERGEFORMAT</w:instrText>
        </w:r>
        <w:r>
          <w:fldChar w:fldCharType="separate"/>
        </w:r>
        <w:r w:rsidR="00A544B3">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4CD4" w14:textId="77777777" w:rsidR="0027445D" w:rsidRDefault="0027445D" w:rsidP="00DF6567">
      <w:pPr>
        <w:spacing w:line="240" w:lineRule="auto"/>
      </w:pPr>
      <w:r>
        <w:separator/>
      </w:r>
    </w:p>
  </w:footnote>
  <w:footnote w:type="continuationSeparator" w:id="0">
    <w:p w14:paraId="6B11222A" w14:textId="77777777" w:rsidR="0027445D" w:rsidRDefault="0027445D" w:rsidP="00DF6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7ED4BB7D" w:rsidR="00AB5AB6" w:rsidRDefault="008B5A7A">
    <w:pPr>
      <w:pStyle w:val="Intestazione"/>
    </w:pPr>
    <w:r>
      <w:rPr>
        <w:noProof/>
      </w:rPr>
      <mc:AlternateContent>
        <mc:Choice Requires="wps">
          <w:drawing>
            <wp:anchor distT="0" distB="0" distL="114300" distR="114300" simplePos="0" relativeHeight="251658242" behindDoc="0" locked="1" layoutInCell="0" allowOverlap="1" wp14:anchorId="6FD69252" wp14:editId="4229A1EC">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1484" id="Rechteck 1" o:spid="_x0000_s1026" style="position:absolute;margin-left:68.05pt;margin-top:139.5pt;width:16.45pt;height:8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Pr>
        <w:noProof/>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71853E36" w:rsidR="00AB5AB6" w:rsidRPr="00864AE1" w:rsidRDefault="00864AE1" w:rsidP="00153B3F">
                          <w:pPr>
                            <w:spacing w:before="0" w:line="280" w:lineRule="exact"/>
                            <w:rPr>
                              <w:szCs w:val="20"/>
                              <w:lang w:val="it-IT"/>
                            </w:rPr>
                          </w:pPr>
                          <w:r>
                            <w:rPr>
                              <w:lang w:val="it-IT"/>
                            </w:rPr>
                            <w:t>Comunicato stampa e IR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71853E36" w:rsidR="00AB5AB6" w:rsidRPr="00864AE1" w:rsidRDefault="00864AE1" w:rsidP="00153B3F">
                    <w:pPr>
                      <w:spacing w:before="0" w:line="280" w:lineRule="exact"/>
                      <w:rPr>
                        <w:szCs w:val="20"/>
                        <w:lang w:val="it-IT"/>
                      </w:rPr>
                    </w:pPr>
                    <w:r>
                      <w:rPr>
                        <w:lang w:val="it-IT"/>
                      </w:rPr>
                      <w:t>Comunicato stampa e IR</w:t>
                    </w:r>
                  </w:p>
                </w:txbxContent>
              </v:textbox>
              <w10:wrap type="square" anchorx="margin" anchory="page"/>
              <w10:anchorlock/>
            </v:shape>
          </w:pict>
        </mc:Fallback>
      </mc:AlternateContent>
    </w:r>
    <w:r>
      <w:rPr>
        <w:noProof/>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3C7E56"/>
    <w:multiLevelType w:val="hybridMultilevel"/>
    <w:tmpl w:val="1E306204"/>
    <w:lvl w:ilvl="0" w:tplc="50C2778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665F1D"/>
    <w:multiLevelType w:val="multilevel"/>
    <w:tmpl w:val="31CC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10" w15:restartNumberingAfterBreak="0">
    <w:nsid w:val="43F3768B"/>
    <w:multiLevelType w:val="hybridMultilevel"/>
    <w:tmpl w:val="1BF858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4353293">
    <w:abstractNumId w:val="7"/>
  </w:num>
  <w:num w:numId="2" w16cid:durableId="1666515418">
    <w:abstractNumId w:val="5"/>
  </w:num>
  <w:num w:numId="3" w16cid:durableId="488138340">
    <w:abstractNumId w:val="13"/>
  </w:num>
  <w:num w:numId="4" w16cid:durableId="1652712708">
    <w:abstractNumId w:val="14"/>
  </w:num>
  <w:num w:numId="5" w16cid:durableId="8262058">
    <w:abstractNumId w:val="11"/>
  </w:num>
  <w:num w:numId="6" w16cid:durableId="1328706572">
    <w:abstractNumId w:val="9"/>
  </w:num>
  <w:num w:numId="7" w16cid:durableId="1877231556">
    <w:abstractNumId w:val="12"/>
  </w:num>
  <w:num w:numId="8" w16cid:durableId="269556222">
    <w:abstractNumId w:val="4"/>
  </w:num>
  <w:num w:numId="9" w16cid:durableId="1438215377">
    <w:abstractNumId w:val="3"/>
  </w:num>
  <w:num w:numId="10" w16cid:durableId="1104691679">
    <w:abstractNumId w:val="2"/>
  </w:num>
  <w:num w:numId="11" w16cid:durableId="1078790617">
    <w:abstractNumId w:val="1"/>
  </w:num>
  <w:num w:numId="12" w16cid:durableId="891233126">
    <w:abstractNumId w:val="0"/>
  </w:num>
  <w:num w:numId="13" w16cid:durableId="1498302394">
    <w:abstractNumId w:val="8"/>
  </w:num>
  <w:num w:numId="14" w16cid:durableId="536889230">
    <w:abstractNumId w:val="10"/>
  </w:num>
  <w:num w:numId="15" w16cid:durableId="287012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02D46"/>
    <w:rsid w:val="00015FD4"/>
    <w:rsid w:val="0002016E"/>
    <w:rsid w:val="0002077D"/>
    <w:rsid w:val="00025DB1"/>
    <w:rsid w:val="00026162"/>
    <w:rsid w:val="0002634A"/>
    <w:rsid w:val="000265E5"/>
    <w:rsid w:val="00026C43"/>
    <w:rsid w:val="00027D63"/>
    <w:rsid w:val="00030847"/>
    <w:rsid w:val="00030FD2"/>
    <w:rsid w:val="0003567D"/>
    <w:rsid w:val="000370D0"/>
    <w:rsid w:val="000371AB"/>
    <w:rsid w:val="000406E8"/>
    <w:rsid w:val="0004537F"/>
    <w:rsid w:val="00045563"/>
    <w:rsid w:val="00045975"/>
    <w:rsid w:val="00047292"/>
    <w:rsid w:val="00057610"/>
    <w:rsid w:val="0006320E"/>
    <w:rsid w:val="0006342A"/>
    <w:rsid w:val="00064E2F"/>
    <w:rsid w:val="00065298"/>
    <w:rsid w:val="00074A70"/>
    <w:rsid w:val="00075654"/>
    <w:rsid w:val="00080F73"/>
    <w:rsid w:val="000850CA"/>
    <w:rsid w:val="00086F00"/>
    <w:rsid w:val="000930B9"/>
    <w:rsid w:val="00095AF9"/>
    <w:rsid w:val="000A183F"/>
    <w:rsid w:val="000A262F"/>
    <w:rsid w:val="000B0B59"/>
    <w:rsid w:val="000C2DFD"/>
    <w:rsid w:val="000C320A"/>
    <w:rsid w:val="000C57A5"/>
    <w:rsid w:val="000D0700"/>
    <w:rsid w:val="000D1DA8"/>
    <w:rsid w:val="000D23E4"/>
    <w:rsid w:val="000D3124"/>
    <w:rsid w:val="000D3A25"/>
    <w:rsid w:val="000D59DF"/>
    <w:rsid w:val="000E100D"/>
    <w:rsid w:val="000E67F0"/>
    <w:rsid w:val="000F29A5"/>
    <w:rsid w:val="000F587A"/>
    <w:rsid w:val="001009CF"/>
    <w:rsid w:val="00105DA7"/>
    <w:rsid w:val="00106786"/>
    <w:rsid w:val="00113A4F"/>
    <w:rsid w:val="00122362"/>
    <w:rsid w:val="001258E4"/>
    <w:rsid w:val="001266E1"/>
    <w:rsid w:val="0012719B"/>
    <w:rsid w:val="0013382E"/>
    <w:rsid w:val="00140EA5"/>
    <w:rsid w:val="001446A9"/>
    <w:rsid w:val="001466A4"/>
    <w:rsid w:val="00151C2B"/>
    <w:rsid w:val="00153B3F"/>
    <w:rsid w:val="00153F3A"/>
    <w:rsid w:val="00162450"/>
    <w:rsid w:val="00171332"/>
    <w:rsid w:val="00186503"/>
    <w:rsid w:val="001909D1"/>
    <w:rsid w:val="001927BD"/>
    <w:rsid w:val="00192D5F"/>
    <w:rsid w:val="001A2241"/>
    <w:rsid w:val="001A22C2"/>
    <w:rsid w:val="001A4DFA"/>
    <w:rsid w:val="001B1CEC"/>
    <w:rsid w:val="001B47FF"/>
    <w:rsid w:val="001B68BC"/>
    <w:rsid w:val="001C2009"/>
    <w:rsid w:val="001C4F6C"/>
    <w:rsid w:val="001D028C"/>
    <w:rsid w:val="001D4570"/>
    <w:rsid w:val="001D481B"/>
    <w:rsid w:val="001D68F6"/>
    <w:rsid w:val="001E05BB"/>
    <w:rsid w:val="001E25E0"/>
    <w:rsid w:val="001F0384"/>
    <w:rsid w:val="001F0BB7"/>
    <w:rsid w:val="001F13B9"/>
    <w:rsid w:val="001F2A88"/>
    <w:rsid w:val="001F5250"/>
    <w:rsid w:val="001F6249"/>
    <w:rsid w:val="001F692A"/>
    <w:rsid w:val="001F71C5"/>
    <w:rsid w:val="0020032C"/>
    <w:rsid w:val="00205E12"/>
    <w:rsid w:val="00220896"/>
    <w:rsid w:val="00226573"/>
    <w:rsid w:val="002317C9"/>
    <w:rsid w:val="002357F0"/>
    <w:rsid w:val="00237BA1"/>
    <w:rsid w:val="00240F88"/>
    <w:rsid w:val="00244603"/>
    <w:rsid w:val="0025374F"/>
    <w:rsid w:val="0025722C"/>
    <w:rsid w:val="002608E5"/>
    <w:rsid w:val="00266394"/>
    <w:rsid w:val="0026661D"/>
    <w:rsid w:val="00270280"/>
    <w:rsid w:val="00273814"/>
    <w:rsid w:val="0027445D"/>
    <w:rsid w:val="00276DF9"/>
    <w:rsid w:val="0028090A"/>
    <w:rsid w:val="0028095F"/>
    <w:rsid w:val="002843EE"/>
    <w:rsid w:val="00291368"/>
    <w:rsid w:val="00296941"/>
    <w:rsid w:val="002A0973"/>
    <w:rsid w:val="002A153D"/>
    <w:rsid w:val="002A2066"/>
    <w:rsid w:val="002B02C2"/>
    <w:rsid w:val="002B3300"/>
    <w:rsid w:val="002B6989"/>
    <w:rsid w:val="002C2513"/>
    <w:rsid w:val="002C613A"/>
    <w:rsid w:val="002C6508"/>
    <w:rsid w:val="002C7ED7"/>
    <w:rsid w:val="002D26FD"/>
    <w:rsid w:val="002D5723"/>
    <w:rsid w:val="002D7270"/>
    <w:rsid w:val="002E37CE"/>
    <w:rsid w:val="002E68F4"/>
    <w:rsid w:val="002F71F8"/>
    <w:rsid w:val="0030039E"/>
    <w:rsid w:val="0030051C"/>
    <w:rsid w:val="00300D11"/>
    <w:rsid w:val="003022D5"/>
    <w:rsid w:val="003060A0"/>
    <w:rsid w:val="00312AB1"/>
    <w:rsid w:val="003147CD"/>
    <w:rsid w:val="0031715D"/>
    <w:rsid w:val="003173A4"/>
    <w:rsid w:val="00322A99"/>
    <w:rsid w:val="00322B07"/>
    <w:rsid w:val="003252A1"/>
    <w:rsid w:val="00326170"/>
    <w:rsid w:val="00326668"/>
    <w:rsid w:val="0033108C"/>
    <w:rsid w:val="00336E29"/>
    <w:rsid w:val="00345401"/>
    <w:rsid w:val="0034551D"/>
    <w:rsid w:val="003458B2"/>
    <w:rsid w:val="0034734C"/>
    <w:rsid w:val="00351230"/>
    <w:rsid w:val="00353A61"/>
    <w:rsid w:val="0035539B"/>
    <w:rsid w:val="003575EC"/>
    <w:rsid w:val="00366994"/>
    <w:rsid w:val="0037142E"/>
    <w:rsid w:val="0037195E"/>
    <w:rsid w:val="00372DA6"/>
    <w:rsid w:val="00376FB2"/>
    <w:rsid w:val="00377241"/>
    <w:rsid w:val="00380AC6"/>
    <w:rsid w:val="0038325D"/>
    <w:rsid w:val="00390428"/>
    <w:rsid w:val="00392F83"/>
    <w:rsid w:val="0039524A"/>
    <w:rsid w:val="003963CC"/>
    <w:rsid w:val="003977B3"/>
    <w:rsid w:val="003A7BC2"/>
    <w:rsid w:val="003B0AA8"/>
    <w:rsid w:val="003B634E"/>
    <w:rsid w:val="003B7583"/>
    <w:rsid w:val="003C0CE5"/>
    <w:rsid w:val="003C1BC9"/>
    <w:rsid w:val="003C2717"/>
    <w:rsid w:val="003C2A2A"/>
    <w:rsid w:val="003C34C4"/>
    <w:rsid w:val="003D28CD"/>
    <w:rsid w:val="003D5327"/>
    <w:rsid w:val="003D5C54"/>
    <w:rsid w:val="003E1263"/>
    <w:rsid w:val="003E3A6A"/>
    <w:rsid w:val="003E73A8"/>
    <w:rsid w:val="003F496C"/>
    <w:rsid w:val="003F5633"/>
    <w:rsid w:val="00405C7A"/>
    <w:rsid w:val="00410B99"/>
    <w:rsid w:val="004136CD"/>
    <w:rsid w:val="00413D98"/>
    <w:rsid w:val="00420F54"/>
    <w:rsid w:val="0042217A"/>
    <w:rsid w:val="00426308"/>
    <w:rsid w:val="00436E3E"/>
    <w:rsid w:val="00440C8D"/>
    <w:rsid w:val="00443E04"/>
    <w:rsid w:val="00443E54"/>
    <w:rsid w:val="0044790B"/>
    <w:rsid w:val="00450EDF"/>
    <w:rsid w:val="0045526D"/>
    <w:rsid w:val="00461C3E"/>
    <w:rsid w:val="004630FF"/>
    <w:rsid w:val="00470666"/>
    <w:rsid w:val="004740C9"/>
    <w:rsid w:val="00485476"/>
    <w:rsid w:val="00487013"/>
    <w:rsid w:val="004A29EA"/>
    <w:rsid w:val="004A5DBD"/>
    <w:rsid w:val="004A660D"/>
    <w:rsid w:val="004A7DBF"/>
    <w:rsid w:val="004B114C"/>
    <w:rsid w:val="004B294F"/>
    <w:rsid w:val="004B2BCC"/>
    <w:rsid w:val="004B70EF"/>
    <w:rsid w:val="004C0B28"/>
    <w:rsid w:val="004C0D21"/>
    <w:rsid w:val="004C1CB2"/>
    <w:rsid w:val="004C2AFB"/>
    <w:rsid w:val="004C2CC2"/>
    <w:rsid w:val="004C458A"/>
    <w:rsid w:val="004C6C5B"/>
    <w:rsid w:val="004D3B14"/>
    <w:rsid w:val="004D48FE"/>
    <w:rsid w:val="004F0FDA"/>
    <w:rsid w:val="004F752B"/>
    <w:rsid w:val="00501304"/>
    <w:rsid w:val="00504840"/>
    <w:rsid w:val="00504DA2"/>
    <w:rsid w:val="00506203"/>
    <w:rsid w:val="00510ECF"/>
    <w:rsid w:val="00511344"/>
    <w:rsid w:val="00511DD4"/>
    <w:rsid w:val="0052054A"/>
    <w:rsid w:val="00520B52"/>
    <w:rsid w:val="005212A3"/>
    <w:rsid w:val="005232BD"/>
    <w:rsid w:val="00523C0B"/>
    <w:rsid w:val="00524224"/>
    <w:rsid w:val="005254C5"/>
    <w:rsid w:val="00527A30"/>
    <w:rsid w:val="00531324"/>
    <w:rsid w:val="005314BA"/>
    <w:rsid w:val="0054316E"/>
    <w:rsid w:val="00545DE1"/>
    <w:rsid w:val="0054652E"/>
    <w:rsid w:val="00546579"/>
    <w:rsid w:val="00550E06"/>
    <w:rsid w:val="005511D6"/>
    <w:rsid w:val="00563C2B"/>
    <w:rsid w:val="00566CB2"/>
    <w:rsid w:val="0057767D"/>
    <w:rsid w:val="005859DD"/>
    <w:rsid w:val="005926D5"/>
    <w:rsid w:val="0059347E"/>
    <w:rsid w:val="005A011D"/>
    <w:rsid w:val="005A029C"/>
    <w:rsid w:val="005A29FA"/>
    <w:rsid w:val="005A5365"/>
    <w:rsid w:val="005A5CD6"/>
    <w:rsid w:val="005A7405"/>
    <w:rsid w:val="005B089F"/>
    <w:rsid w:val="005B1965"/>
    <w:rsid w:val="005B237C"/>
    <w:rsid w:val="005B53CD"/>
    <w:rsid w:val="005B5FC3"/>
    <w:rsid w:val="005C73C5"/>
    <w:rsid w:val="005C798A"/>
    <w:rsid w:val="005D2320"/>
    <w:rsid w:val="005D4965"/>
    <w:rsid w:val="005E3706"/>
    <w:rsid w:val="005E4E62"/>
    <w:rsid w:val="005E55AA"/>
    <w:rsid w:val="005F148F"/>
    <w:rsid w:val="005F6947"/>
    <w:rsid w:val="005F70A5"/>
    <w:rsid w:val="00600AC2"/>
    <w:rsid w:val="00601F71"/>
    <w:rsid w:val="006036B8"/>
    <w:rsid w:val="006109B2"/>
    <w:rsid w:val="0061660D"/>
    <w:rsid w:val="00622BF4"/>
    <w:rsid w:val="00624707"/>
    <w:rsid w:val="00632D43"/>
    <w:rsid w:val="00653799"/>
    <w:rsid w:val="006540BA"/>
    <w:rsid w:val="00654AE6"/>
    <w:rsid w:val="00655B46"/>
    <w:rsid w:val="006607A2"/>
    <w:rsid w:val="0066241B"/>
    <w:rsid w:val="006702B4"/>
    <w:rsid w:val="0067642A"/>
    <w:rsid w:val="00677A29"/>
    <w:rsid w:val="00682D46"/>
    <w:rsid w:val="00686CF3"/>
    <w:rsid w:val="00687BC6"/>
    <w:rsid w:val="0069140B"/>
    <w:rsid w:val="00692DE3"/>
    <w:rsid w:val="00694DBE"/>
    <w:rsid w:val="006968CD"/>
    <w:rsid w:val="00696F10"/>
    <w:rsid w:val="0069794C"/>
    <w:rsid w:val="006A05A8"/>
    <w:rsid w:val="006A1B6D"/>
    <w:rsid w:val="006A3B4D"/>
    <w:rsid w:val="006A5C61"/>
    <w:rsid w:val="006B4E97"/>
    <w:rsid w:val="006B5A53"/>
    <w:rsid w:val="006B6318"/>
    <w:rsid w:val="006C07FE"/>
    <w:rsid w:val="006C32FF"/>
    <w:rsid w:val="006C5F46"/>
    <w:rsid w:val="006C7C9F"/>
    <w:rsid w:val="006D0A15"/>
    <w:rsid w:val="006D2E3B"/>
    <w:rsid w:val="006D3D6A"/>
    <w:rsid w:val="006D65F9"/>
    <w:rsid w:val="006E6A49"/>
    <w:rsid w:val="006E754B"/>
    <w:rsid w:val="006E77CB"/>
    <w:rsid w:val="006F33AA"/>
    <w:rsid w:val="006F3A0F"/>
    <w:rsid w:val="006F655F"/>
    <w:rsid w:val="00706DC9"/>
    <w:rsid w:val="0070785E"/>
    <w:rsid w:val="00707B60"/>
    <w:rsid w:val="0071157C"/>
    <w:rsid w:val="00711727"/>
    <w:rsid w:val="00713EDD"/>
    <w:rsid w:val="007166DE"/>
    <w:rsid w:val="00721B80"/>
    <w:rsid w:val="00722109"/>
    <w:rsid w:val="00724571"/>
    <w:rsid w:val="00727FBB"/>
    <w:rsid w:val="007314BD"/>
    <w:rsid w:val="00731BC9"/>
    <w:rsid w:val="00731ECC"/>
    <w:rsid w:val="00736B99"/>
    <w:rsid w:val="00737A89"/>
    <w:rsid w:val="00737D3F"/>
    <w:rsid w:val="00744620"/>
    <w:rsid w:val="007615B8"/>
    <w:rsid w:val="00764276"/>
    <w:rsid w:val="00764B4A"/>
    <w:rsid w:val="0076623A"/>
    <w:rsid w:val="00766EAB"/>
    <w:rsid w:val="00783C9A"/>
    <w:rsid w:val="00785878"/>
    <w:rsid w:val="00786903"/>
    <w:rsid w:val="0079072C"/>
    <w:rsid w:val="007975E0"/>
    <w:rsid w:val="007A31CF"/>
    <w:rsid w:val="007A3DF6"/>
    <w:rsid w:val="007B01D3"/>
    <w:rsid w:val="007B10AF"/>
    <w:rsid w:val="007B5203"/>
    <w:rsid w:val="007B59C5"/>
    <w:rsid w:val="007C0065"/>
    <w:rsid w:val="007C0770"/>
    <w:rsid w:val="007C1B86"/>
    <w:rsid w:val="007D0988"/>
    <w:rsid w:val="007D3A1B"/>
    <w:rsid w:val="007D5EA3"/>
    <w:rsid w:val="007E7D20"/>
    <w:rsid w:val="007F2239"/>
    <w:rsid w:val="007F34D6"/>
    <w:rsid w:val="007F3D4E"/>
    <w:rsid w:val="007F7074"/>
    <w:rsid w:val="0081181F"/>
    <w:rsid w:val="0081556D"/>
    <w:rsid w:val="008201F9"/>
    <w:rsid w:val="00822506"/>
    <w:rsid w:val="008241F7"/>
    <w:rsid w:val="00825EBC"/>
    <w:rsid w:val="00825ED9"/>
    <w:rsid w:val="0082738A"/>
    <w:rsid w:val="00833D50"/>
    <w:rsid w:val="00835BA1"/>
    <w:rsid w:val="008428DB"/>
    <w:rsid w:val="00844F86"/>
    <w:rsid w:val="00846475"/>
    <w:rsid w:val="008467B9"/>
    <w:rsid w:val="008474A3"/>
    <w:rsid w:val="00847F04"/>
    <w:rsid w:val="00851D1B"/>
    <w:rsid w:val="008549FC"/>
    <w:rsid w:val="008572A4"/>
    <w:rsid w:val="00857DD6"/>
    <w:rsid w:val="00860C29"/>
    <w:rsid w:val="008627A9"/>
    <w:rsid w:val="00863113"/>
    <w:rsid w:val="00864AE1"/>
    <w:rsid w:val="00871374"/>
    <w:rsid w:val="00871B32"/>
    <w:rsid w:val="00874EF0"/>
    <w:rsid w:val="00875D4B"/>
    <w:rsid w:val="00882199"/>
    <w:rsid w:val="00890E9E"/>
    <w:rsid w:val="008915B7"/>
    <w:rsid w:val="0089327D"/>
    <w:rsid w:val="00895F28"/>
    <w:rsid w:val="00896A37"/>
    <w:rsid w:val="008A3165"/>
    <w:rsid w:val="008A4DAC"/>
    <w:rsid w:val="008A5DC0"/>
    <w:rsid w:val="008B1659"/>
    <w:rsid w:val="008B3442"/>
    <w:rsid w:val="008B5A7A"/>
    <w:rsid w:val="008C0BC7"/>
    <w:rsid w:val="008C5644"/>
    <w:rsid w:val="008D1DB8"/>
    <w:rsid w:val="008D71BE"/>
    <w:rsid w:val="008E2DD4"/>
    <w:rsid w:val="008F6C18"/>
    <w:rsid w:val="009031C8"/>
    <w:rsid w:val="00904836"/>
    <w:rsid w:val="00911B4E"/>
    <w:rsid w:val="00911F16"/>
    <w:rsid w:val="00914DF9"/>
    <w:rsid w:val="009169FA"/>
    <w:rsid w:val="00917D41"/>
    <w:rsid w:val="00917FCC"/>
    <w:rsid w:val="00921E6F"/>
    <w:rsid w:val="009232BD"/>
    <w:rsid w:val="009240CD"/>
    <w:rsid w:val="00926CC4"/>
    <w:rsid w:val="00930BDD"/>
    <w:rsid w:val="00931A75"/>
    <w:rsid w:val="009320E7"/>
    <w:rsid w:val="00934587"/>
    <w:rsid w:val="009373F5"/>
    <w:rsid w:val="009378FE"/>
    <w:rsid w:val="0094579C"/>
    <w:rsid w:val="0094583E"/>
    <w:rsid w:val="00947EA3"/>
    <w:rsid w:val="0095036C"/>
    <w:rsid w:val="00954339"/>
    <w:rsid w:val="009551A7"/>
    <w:rsid w:val="009560C2"/>
    <w:rsid w:val="009562CD"/>
    <w:rsid w:val="00962532"/>
    <w:rsid w:val="00962E36"/>
    <w:rsid w:val="0096486A"/>
    <w:rsid w:val="00967314"/>
    <w:rsid w:val="00967D61"/>
    <w:rsid w:val="00971DD3"/>
    <w:rsid w:val="0097262C"/>
    <w:rsid w:val="00976712"/>
    <w:rsid w:val="00980B3C"/>
    <w:rsid w:val="00984D26"/>
    <w:rsid w:val="009858F5"/>
    <w:rsid w:val="009874B1"/>
    <w:rsid w:val="00990BFF"/>
    <w:rsid w:val="0099149B"/>
    <w:rsid w:val="00993A43"/>
    <w:rsid w:val="009942FA"/>
    <w:rsid w:val="009955E9"/>
    <w:rsid w:val="009970AC"/>
    <w:rsid w:val="00997A99"/>
    <w:rsid w:val="009A29DD"/>
    <w:rsid w:val="009A31C6"/>
    <w:rsid w:val="009A5847"/>
    <w:rsid w:val="009A6878"/>
    <w:rsid w:val="009A7669"/>
    <w:rsid w:val="009B056E"/>
    <w:rsid w:val="009B19FF"/>
    <w:rsid w:val="009B5495"/>
    <w:rsid w:val="009C4A6B"/>
    <w:rsid w:val="009C6213"/>
    <w:rsid w:val="009E2809"/>
    <w:rsid w:val="009E29E2"/>
    <w:rsid w:val="009E3FDF"/>
    <w:rsid w:val="009E76C7"/>
    <w:rsid w:val="009F2FC3"/>
    <w:rsid w:val="009F383E"/>
    <w:rsid w:val="009F41CB"/>
    <w:rsid w:val="009F6ACB"/>
    <w:rsid w:val="009F7699"/>
    <w:rsid w:val="00A0057E"/>
    <w:rsid w:val="00A02C27"/>
    <w:rsid w:val="00A02FC3"/>
    <w:rsid w:val="00A02FDA"/>
    <w:rsid w:val="00A11665"/>
    <w:rsid w:val="00A11A3D"/>
    <w:rsid w:val="00A11BF8"/>
    <w:rsid w:val="00A154BD"/>
    <w:rsid w:val="00A210FB"/>
    <w:rsid w:val="00A2276C"/>
    <w:rsid w:val="00A22811"/>
    <w:rsid w:val="00A3108E"/>
    <w:rsid w:val="00A32C86"/>
    <w:rsid w:val="00A34034"/>
    <w:rsid w:val="00A356CA"/>
    <w:rsid w:val="00A35DDB"/>
    <w:rsid w:val="00A360D9"/>
    <w:rsid w:val="00A41570"/>
    <w:rsid w:val="00A468F2"/>
    <w:rsid w:val="00A470E6"/>
    <w:rsid w:val="00A518CE"/>
    <w:rsid w:val="00A52770"/>
    <w:rsid w:val="00A544B3"/>
    <w:rsid w:val="00A60018"/>
    <w:rsid w:val="00A614BB"/>
    <w:rsid w:val="00A64FA9"/>
    <w:rsid w:val="00A65EE6"/>
    <w:rsid w:val="00A727E0"/>
    <w:rsid w:val="00A72E8E"/>
    <w:rsid w:val="00A74A4A"/>
    <w:rsid w:val="00A756D6"/>
    <w:rsid w:val="00A77FEB"/>
    <w:rsid w:val="00A8250F"/>
    <w:rsid w:val="00A82D6A"/>
    <w:rsid w:val="00A83F76"/>
    <w:rsid w:val="00A95E82"/>
    <w:rsid w:val="00A96D2B"/>
    <w:rsid w:val="00A97B37"/>
    <w:rsid w:val="00AA3E9C"/>
    <w:rsid w:val="00AA4D9E"/>
    <w:rsid w:val="00AA58ED"/>
    <w:rsid w:val="00AB3FEC"/>
    <w:rsid w:val="00AB561A"/>
    <w:rsid w:val="00AB5AB6"/>
    <w:rsid w:val="00AC708D"/>
    <w:rsid w:val="00AC7098"/>
    <w:rsid w:val="00AC7534"/>
    <w:rsid w:val="00AD0056"/>
    <w:rsid w:val="00AD2BDF"/>
    <w:rsid w:val="00AD7994"/>
    <w:rsid w:val="00AE02EA"/>
    <w:rsid w:val="00AE23F1"/>
    <w:rsid w:val="00AE251D"/>
    <w:rsid w:val="00AE4755"/>
    <w:rsid w:val="00AE655C"/>
    <w:rsid w:val="00AF2EDC"/>
    <w:rsid w:val="00AF584F"/>
    <w:rsid w:val="00AF7680"/>
    <w:rsid w:val="00B00195"/>
    <w:rsid w:val="00B0162B"/>
    <w:rsid w:val="00B05DA3"/>
    <w:rsid w:val="00B127DF"/>
    <w:rsid w:val="00B13126"/>
    <w:rsid w:val="00B1474C"/>
    <w:rsid w:val="00B174C1"/>
    <w:rsid w:val="00B1782B"/>
    <w:rsid w:val="00B21ACD"/>
    <w:rsid w:val="00B2433A"/>
    <w:rsid w:val="00B309F3"/>
    <w:rsid w:val="00B31BD3"/>
    <w:rsid w:val="00B31F80"/>
    <w:rsid w:val="00B45112"/>
    <w:rsid w:val="00B455E1"/>
    <w:rsid w:val="00B4677C"/>
    <w:rsid w:val="00B46838"/>
    <w:rsid w:val="00B526B1"/>
    <w:rsid w:val="00B53C7D"/>
    <w:rsid w:val="00B6360E"/>
    <w:rsid w:val="00B64A2B"/>
    <w:rsid w:val="00B6597C"/>
    <w:rsid w:val="00B726AE"/>
    <w:rsid w:val="00B73025"/>
    <w:rsid w:val="00B842D2"/>
    <w:rsid w:val="00B87797"/>
    <w:rsid w:val="00B87A60"/>
    <w:rsid w:val="00B908A3"/>
    <w:rsid w:val="00BA4D69"/>
    <w:rsid w:val="00BB058B"/>
    <w:rsid w:val="00BB54CA"/>
    <w:rsid w:val="00BB581C"/>
    <w:rsid w:val="00BC4B44"/>
    <w:rsid w:val="00BC6214"/>
    <w:rsid w:val="00BD00BA"/>
    <w:rsid w:val="00BD6A25"/>
    <w:rsid w:val="00BE7101"/>
    <w:rsid w:val="00BF0567"/>
    <w:rsid w:val="00BF3143"/>
    <w:rsid w:val="00C1052E"/>
    <w:rsid w:val="00C13BA0"/>
    <w:rsid w:val="00C20EA4"/>
    <w:rsid w:val="00C21266"/>
    <w:rsid w:val="00C21756"/>
    <w:rsid w:val="00C21942"/>
    <w:rsid w:val="00C32B09"/>
    <w:rsid w:val="00C345DA"/>
    <w:rsid w:val="00C466CC"/>
    <w:rsid w:val="00C46DD6"/>
    <w:rsid w:val="00C6059F"/>
    <w:rsid w:val="00C64802"/>
    <w:rsid w:val="00C676E0"/>
    <w:rsid w:val="00C71209"/>
    <w:rsid w:val="00C74DA8"/>
    <w:rsid w:val="00C81756"/>
    <w:rsid w:val="00C85D1A"/>
    <w:rsid w:val="00C86B6C"/>
    <w:rsid w:val="00C8725C"/>
    <w:rsid w:val="00C975A6"/>
    <w:rsid w:val="00CA1B1B"/>
    <w:rsid w:val="00CA4042"/>
    <w:rsid w:val="00CA43D1"/>
    <w:rsid w:val="00CA66A0"/>
    <w:rsid w:val="00CA728F"/>
    <w:rsid w:val="00CC56D4"/>
    <w:rsid w:val="00CC5789"/>
    <w:rsid w:val="00CC60DC"/>
    <w:rsid w:val="00CC7BC5"/>
    <w:rsid w:val="00CC7E06"/>
    <w:rsid w:val="00CD0C9F"/>
    <w:rsid w:val="00CD57C5"/>
    <w:rsid w:val="00CD61A6"/>
    <w:rsid w:val="00CD728F"/>
    <w:rsid w:val="00CD7AE9"/>
    <w:rsid w:val="00CD7D9D"/>
    <w:rsid w:val="00CD7E4A"/>
    <w:rsid w:val="00CD7EF3"/>
    <w:rsid w:val="00CF0A14"/>
    <w:rsid w:val="00CF104B"/>
    <w:rsid w:val="00CF517B"/>
    <w:rsid w:val="00CF5311"/>
    <w:rsid w:val="00CF533F"/>
    <w:rsid w:val="00CF5A5E"/>
    <w:rsid w:val="00CF674F"/>
    <w:rsid w:val="00CF7795"/>
    <w:rsid w:val="00D01E43"/>
    <w:rsid w:val="00D04FB0"/>
    <w:rsid w:val="00D05DE9"/>
    <w:rsid w:val="00D07437"/>
    <w:rsid w:val="00D12B58"/>
    <w:rsid w:val="00D141DF"/>
    <w:rsid w:val="00D152A4"/>
    <w:rsid w:val="00D20545"/>
    <w:rsid w:val="00D22750"/>
    <w:rsid w:val="00D22EEA"/>
    <w:rsid w:val="00D267FC"/>
    <w:rsid w:val="00D27390"/>
    <w:rsid w:val="00D27FEF"/>
    <w:rsid w:val="00D30454"/>
    <w:rsid w:val="00D30B6F"/>
    <w:rsid w:val="00D35328"/>
    <w:rsid w:val="00D376E2"/>
    <w:rsid w:val="00D40FF4"/>
    <w:rsid w:val="00D45439"/>
    <w:rsid w:val="00D45835"/>
    <w:rsid w:val="00D5017A"/>
    <w:rsid w:val="00D5162E"/>
    <w:rsid w:val="00D531C8"/>
    <w:rsid w:val="00D537B1"/>
    <w:rsid w:val="00D54457"/>
    <w:rsid w:val="00D62638"/>
    <w:rsid w:val="00D63A30"/>
    <w:rsid w:val="00D63FDB"/>
    <w:rsid w:val="00D66E6D"/>
    <w:rsid w:val="00D764A7"/>
    <w:rsid w:val="00D76CD2"/>
    <w:rsid w:val="00D85DCE"/>
    <w:rsid w:val="00D92998"/>
    <w:rsid w:val="00D9394B"/>
    <w:rsid w:val="00D94AFD"/>
    <w:rsid w:val="00D955F5"/>
    <w:rsid w:val="00D96189"/>
    <w:rsid w:val="00DA5AF5"/>
    <w:rsid w:val="00DA7F89"/>
    <w:rsid w:val="00DB0723"/>
    <w:rsid w:val="00DB077D"/>
    <w:rsid w:val="00DB1E61"/>
    <w:rsid w:val="00DB4770"/>
    <w:rsid w:val="00DB561C"/>
    <w:rsid w:val="00DB6317"/>
    <w:rsid w:val="00DB652A"/>
    <w:rsid w:val="00DC56FB"/>
    <w:rsid w:val="00DC6F13"/>
    <w:rsid w:val="00DD5226"/>
    <w:rsid w:val="00DD5C05"/>
    <w:rsid w:val="00DE3A5B"/>
    <w:rsid w:val="00DE4110"/>
    <w:rsid w:val="00DE4B1E"/>
    <w:rsid w:val="00DE5A3C"/>
    <w:rsid w:val="00DF157F"/>
    <w:rsid w:val="00DF52F8"/>
    <w:rsid w:val="00DF6567"/>
    <w:rsid w:val="00DF6D74"/>
    <w:rsid w:val="00E014E3"/>
    <w:rsid w:val="00E0349B"/>
    <w:rsid w:val="00E10151"/>
    <w:rsid w:val="00E1307A"/>
    <w:rsid w:val="00E207CA"/>
    <w:rsid w:val="00E21E9F"/>
    <w:rsid w:val="00E26046"/>
    <w:rsid w:val="00E274CA"/>
    <w:rsid w:val="00E306F2"/>
    <w:rsid w:val="00E3111A"/>
    <w:rsid w:val="00E311BA"/>
    <w:rsid w:val="00E4214C"/>
    <w:rsid w:val="00E51A3F"/>
    <w:rsid w:val="00E524EB"/>
    <w:rsid w:val="00E52C18"/>
    <w:rsid w:val="00E540FE"/>
    <w:rsid w:val="00E542E7"/>
    <w:rsid w:val="00E564A2"/>
    <w:rsid w:val="00E57CF2"/>
    <w:rsid w:val="00E62618"/>
    <w:rsid w:val="00E63A93"/>
    <w:rsid w:val="00E6553C"/>
    <w:rsid w:val="00E65DB8"/>
    <w:rsid w:val="00E66804"/>
    <w:rsid w:val="00E66C0E"/>
    <w:rsid w:val="00E72005"/>
    <w:rsid w:val="00E72344"/>
    <w:rsid w:val="00E72738"/>
    <w:rsid w:val="00E7430A"/>
    <w:rsid w:val="00E7707A"/>
    <w:rsid w:val="00E902E4"/>
    <w:rsid w:val="00E921F8"/>
    <w:rsid w:val="00E94695"/>
    <w:rsid w:val="00E9673A"/>
    <w:rsid w:val="00EA6AB1"/>
    <w:rsid w:val="00EB18AF"/>
    <w:rsid w:val="00EC12B6"/>
    <w:rsid w:val="00EC1C23"/>
    <w:rsid w:val="00EC1E07"/>
    <w:rsid w:val="00EC432B"/>
    <w:rsid w:val="00EC4517"/>
    <w:rsid w:val="00ED2495"/>
    <w:rsid w:val="00ED2E7D"/>
    <w:rsid w:val="00ED55EF"/>
    <w:rsid w:val="00EE33F6"/>
    <w:rsid w:val="00EE3C3C"/>
    <w:rsid w:val="00EE465B"/>
    <w:rsid w:val="00EF176D"/>
    <w:rsid w:val="00EF1DDB"/>
    <w:rsid w:val="00EF2702"/>
    <w:rsid w:val="00EF3150"/>
    <w:rsid w:val="00EF3BA2"/>
    <w:rsid w:val="00F01EC8"/>
    <w:rsid w:val="00F025A9"/>
    <w:rsid w:val="00F139EB"/>
    <w:rsid w:val="00F15E43"/>
    <w:rsid w:val="00F24683"/>
    <w:rsid w:val="00F33DB9"/>
    <w:rsid w:val="00F3692C"/>
    <w:rsid w:val="00F371C8"/>
    <w:rsid w:val="00F4021D"/>
    <w:rsid w:val="00F4109D"/>
    <w:rsid w:val="00F453D9"/>
    <w:rsid w:val="00F46B78"/>
    <w:rsid w:val="00F51227"/>
    <w:rsid w:val="00F51507"/>
    <w:rsid w:val="00F51617"/>
    <w:rsid w:val="00F6335D"/>
    <w:rsid w:val="00F73C7A"/>
    <w:rsid w:val="00F74BF8"/>
    <w:rsid w:val="00F80B6E"/>
    <w:rsid w:val="00F80D99"/>
    <w:rsid w:val="00F84128"/>
    <w:rsid w:val="00F92A03"/>
    <w:rsid w:val="00F93FD6"/>
    <w:rsid w:val="00F94F8A"/>
    <w:rsid w:val="00FA5043"/>
    <w:rsid w:val="00FB1909"/>
    <w:rsid w:val="00FB1DEA"/>
    <w:rsid w:val="00FB1FBD"/>
    <w:rsid w:val="00FB2A54"/>
    <w:rsid w:val="00FB5D4E"/>
    <w:rsid w:val="00FB66C6"/>
    <w:rsid w:val="00FB72BC"/>
    <w:rsid w:val="00FB77B1"/>
    <w:rsid w:val="00FC0652"/>
    <w:rsid w:val="00FC1CEE"/>
    <w:rsid w:val="00FC258F"/>
    <w:rsid w:val="00FF0140"/>
    <w:rsid w:val="00FF0AEC"/>
    <w:rsid w:val="00FF7DE2"/>
    <w:rsid w:val="0F88D77F"/>
    <w:rsid w:val="1A5A42C3"/>
    <w:rsid w:val="20C18291"/>
    <w:rsid w:val="296A9CFC"/>
    <w:rsid w:val="2A11757A"/>
    <w:rsid w:val="356203B7"/>
    <w:rsid w:val="387BF2CC"/>
    <w:rsid w:val="508EB08C"/>
    <w:rsid w:val="57908777"/>
    <w:rsid w:val="57931AD6"/>
    <w:rsid w:val="6A9496B2"/>
    <w:rsid w:val="6D552E67"/>
    <w:rsid w:val="6E3C1DFB"/>
    <w:rsid w:val="6F9DE26D"/>
    <w:rsid w:val="7EA4319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E980254E-1297-47E6-BE39-63240BFE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 w:type="character" w:styleId="Rimandocommento">
    <w:name w:val="annotation reference"/>
    <w:basedOn w:val="Carpredefinitoparagrafo"/>
    <w:uiPriority w:val="99"/>
    <w:semiHidden/>
    <w:unhideWhenUsed/>
    <w:rsid w:val="00EC1E07"/>
    <w:rPr>
      <w:sz w:val="16"/>
      <w:szCs w:val="16"/>
    </w:rPr>
  </w:style>
  <w:style w:type="paragraph" w:styleId="Testocommento">
    <w:name w:val="annotation text"/>
    <w:basedOn w:val="Normale"/>
    <w:link w:val="TestocommentoCarattere"/>
    <w:uiPriority w:val="99"/>
    <w:unhideWhenUsed/>
    <w:rsid w:val="00EC1E07"/>
    <w:pPr>
      <w:spacing w:line="240" w:lineRule="auto"/>
    </w:pPr>
    <w:rPr>
      <w:sz w:val="20"/>
      <w:szCs w:val="20"/>
    </w:rPr>
  </w:style>
  <w:style w:type="character" w:customStyle="1" w:styleId="TestocommentoCarattere">
    <w:name w:val="Testo commento Carattere"/>
    <w:basedOn w:val="Carpredefinitoparagrafo"/>
    <w:link w:val="Testocommento"/>
    <w:uiPriority w:val="99"/>
    <w:rsid w:val="00EC1E07"/>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EC1E07"/>
    <w:rPr>
      <w:b/>
      <w:bCs/>
    </w:rPr>
  </w:style>
  <w:style w:type="character" w:customStyle="1" w:styleId="SoggettocommentoCarattere">
    <w:name w:val="Soggetto commento Carattere"/>
    <w:basedOn w:val="TestocommentoCarattere"/>
    <w:link w:val="Soggettocommento"/>
    <w:uiPriority w:val="99"/>
    <w:semiHidden/>
    <w:rsid w:val="00EC1E07"/>
    <w:rPr>
      <w:b/>
      <w:bCs/>
      <w:color w:val="4A4A49"/>
      <w:sz w:val="20"/>
      <w:szCs w:val="20"/>
    </w:rPr>
  </w:style>
  <w:style w:type="paragraph" w:styleId="Revisione">
    <w:name w:val="Revision"/>
    <w:hidden/>
    <w:uiPriority w:val="99"/>
    <w:semiHidden/>
    <w:rsid w:val="00AF2EDC"/>
    <w:pPr>
      <w:spacing w:after="0" w:line="240" w:lineRule="auto"/>
    </w:pPr>
    <w:rPr>
      <w:color w:val="4A4A49"/>
    </w:rPr>
  </w:style>
  <w:style w:type="character" w:styleId="Menzione">
    <w:name w:val="Mention"/>
    <w:basedOn w:val="Carpredefinitoparagrafo"/>
    <w:uiPriority w:val="99"/>
    <w:unhideWhenUsed/>
    <w:rsid w:val="00D76C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twitter.com/schaefflergrou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www.schaeffler.com" TargetMode="External"/><Relationship Id="rId25" Type="http://schemas.openxmlformats.org/officeDocument/2006/relationships/hyperlink" Target="https://www.instagram.com/schaefflergrou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tthias.herms@schaeffler.com"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schaeffler.com%2Fen%2Finvestor-relations%2Fevents-publications%2Fearnings-releases%2F&amp;data=05%7C02%7CSamantha.Ebert%40schaeffler.com%7Ce6edaebd3ff544812af708de78eb6504%7C6741660465094014985945e709f53d3f%7C1%7C0%7C639081149555246323%7CUnknown%7CTWFpbGZsb3d8eyJFbXB0eU1hcGkiOnRydWUsIlYiOiIwLjAuMDAwMCIsIlAiOiJXaW4zMiIsIkFOIjoiTWFpbCIsIldUIjoyfQ%3D%3D%7C0%7C%7C%7C&amp;sdata=VJ5fI5fZAywSm7TWhabqdkwRsqUSvq1ERt0%2FwqRKTao%3D&amp;reserved=0" TargetMode="External"/><Relationship Id="rId24" Type="http://schemas.openxmlformats.org/officeDocument/2006/relationships/image" Target="media/image6.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heiko.eber@schaeffler.com" TargetMode="External"/><Relationship Id="rId23" Type="http://schemas.openxmlformats.org/officeDocument/2006/relationships/hyperlink" Target="https://www.facebook.com/SchaefflerGroup"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inkedin.com/company/schaeffle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xel.luedeke@schaeffler.com" TargetMode="External"/><Relationship Id="rId22" Type="http://schemas.openxmlformats.org/officeDocument/2006/relationships/image" Target="media/image5.png"/><Relationship Id="rId27" Type="http://schemas.openxmlformats.org/officeDocument/2006/relationships/hyperlink" Target="https://www.youtube.com/user/SchaefflerGlobal"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06170F1EC3AA48B77CCF8D58F498A6" ma:contentTypeVersion="11" ma:contentTypeDescription="Create a new document." ma:contentTypeScope="" ma:versionID="25cb713098c81075aaa055190bf726a2">
  <xsd:schema xmlns:xsd="http://www.w3.org/2001/XMLSchema" xmlns:xs="http://www.w3.org/2001/XMLSchema" xmlns:p="http://schemas.microsoft.com/office/2006/metadata/properties" xmlns:ns2="5854b767-593a-45dd-9e7e-7950f3ca7607" targetNamespace="http://schemas.microsoft.com/office/2006/metadata/properties" ma:root="true" ma:fieldsID="6da062671b8f8e337b87203c777f17c6"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1BE61-B6C3-44FC-84B0-616B702BBB81}">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5854b767-593a-45dd-9e7e-7950f3ca7607"/>
    <ds:schemaRef ds:uri="http://purl.org/dc/terms/"/>
  </ds:schemaRefs>
</ds:datastoreItem>
</file>

<file path=customXml/itemProps2.xml><?xml version="1.0" encoding="utf-8"?>
<ds:datastoreItem xmlns:ds="http://schemas.openxmlformats.org/officeDocument/2006/customXml" ds:itemID="{F10EDCB1-3864-47B9-8335-2E99A9789E81}">
  <ds:schemaRefs>
    <ds:schemaRef ds:uri="http://schemas.openxmlformats.org/officeDocument/2006/bibliography"/>
  </ds:schemaRefs>
</ds:datastoreItem>
</file>

<file path=customXml/itemProps3.xml><?xml version="1.0" encoding="utf-8"?>
<ds:datastoreItem xmlns:ds="http://schemas.openxmlformats.org/officeDocument/2006/customXml" ds:itemID="{97E58D22-A23C-4EB4-90B8-CAF8E57B6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76EAF-B413-46C7-851B-7540470F6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1399</Words>
  <Characters>7977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Zucchetti, Daniela  SW/MOM-CI</cp:lastModifiedBy>
  <cp:revision>8</cp:revision>
  <cp:lastPrinted>2026-02-04T19:36:00Z</cp:lastPrinted>
  <dcterms:created xsi:type="dcterms:W3CDTF">2026-03-05T14:33:00Z</dcterms:created>
  <dcterms:modified xsi:type="dcterms:W3CDTF">2026-03-19T08:48:00Z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5392a-8b90-4cb3-89af-3686e3abd032_Enabled">
    <vt:lpwstr>true</vt:lpwstr>
  </property>
  <property fmtid="{D5CDD505-2E9C-101B-9397-08002B2CF9AE}" pid="3" name="MSIP_Label_81d5392a-8b90-4cb3-89af-3686e3abd032_SetDate">
    <vt:lpwstr>2021-05-26T06:59:02Z</vt:lpwstr>
  </property>
  <property fmtid="{D5CDD505-2E9C-101B-9397-08002B2CF9AE}" pid="4" name="MSIP_Label_81d5392a-8b90-4cb3-89af-3686e3abd032_Method">
    <vt:lpwstr>Privileged</vt:lpwstr>
  </property>
  <property fmtid="{D5CDD505-2E9C-101B-9397-08002B2CF9AE}" pid="5" name="MSIP_Label_81d5392a-8b90-4cb3-89af-3686e3abd032_Name">
    <vt:lpwstr>81d5392a-8b90-4cb3-89af-3686e3abd032</vt:lpwstr>
  </property>
  <property fmtid="{D5CDD505-2E9C-101B-9397-08002B2CF9AE}" pid="6" name="MSIP_Label_81d5392a-8b90-4cb3-89af-3686e3abd032_SiteId">
    <vt:lpwstr>67416604-6509-4014-9859-45e709f53d3f</vt:lpwstr>
  </property>
  <property fmtid="{D5CDD505-2E9C-101B-9397-08002B2CF9AE}" pid="7" name="MSIP_Label_81d5392a-8b90-4cb3-89af-3686e3abd032_ActionId">
    <vt:lpwstr>2741c53a-610f-4cd1-ab58-8627a8d6cbff</vt:lpwstr>
  </property>
  <property fmtid="{D5CDD505-2E9C-101B-9397-08002B2CF9AE}" pid="8" name="MSIP_Label_81d5392a-8b90-4cb3-89af-3686e3abd032_ContentBits">
    <vt:lpwstr>0</vt:lpwstr>
  </property>
  <property fmtid="{D5CDD505-2E9C-101B-9397-08002B2CF9AE}" pid="9" name="43b072f0-0f82-4aac-be1e-8abeffc32f66">
    <vt:bool>false</vt:bool>
  </property>
  <property fmtid="{D5CDD505-2E9C-101B-9397-08002B2CF9AE}" pid="10" name="ContentTypeId">
    <vt:lpwstr>0x0101002706170F1EC3AA48B77CCF8D58F498A6</vt:lpwstr>
  </property>
  <property fmtid="{D5CDD505-2E9C-101B-9397-08002B2CF9AE}" pid="11" name="MediaServiceImageTags">
    <vt:lpwstr/>
  </property>
  <property fmtid="{D5CDD505-2E9C-101B-9397-08002B2CF9AE}" pid="12" name="MSIP_Label_3f3ac890-09a1-47d3-8d04-15427d7fec91_Enabled">
    <vt:lpwstr>true</vt:lpwstr>
  </property>
  <property fmtid="{D5CDD505-2E9C-101B-9397-08002B2CF9AE}" pid="13" name="MSIP_Label_3f3ac890-09a1-47d3-8d04-15427d7fec91_SetDate">
    <vt:lpwstr>2026-01-28T11:12:41Z</vt:lpwstr>
  </property>
  <property fmtid="{D5CDD505-2E9C-101B-9397-08002B2CF9AE}" pid="14" name="MSIP_Label_3f3ac890-09a1-47d3-8d04-15427d7fec91_Method">
    <vt:lpwstr>Standard</vt:lpwstr>
  </property>
  <property fmtid="{D5CDD505-2E9C-101B-9397-08002B2CF9AE}" pid="15" name="MSIP_Label_3f3ac890-09a1-47d3-8d04-15427d7fec91_Name">
    <vt:lpwstr>Internal</vt:lpwstr>
  </property>
  <property fmtid="{D5CDD505-2E9C-101B-9397-08002B2CF9AE}" pid="16" name="MSIP_Label_3f3ac890-09a1-47d3-8d04-15427d7fec91_SiteId">
    <vt:lpwstr>39b77101-99b7-41c9-8d6a-7794b9d48476</vt:lpwstr>
  </property>
  <property fmtid="{D5CDD505-2E9C-101B-9397-08002B2CF9AE}" pid="17" name="MSIP_Label_3f3ac890-09a1-47d3-8d04-15427d7fec91_ActionId">
    <vt:lpwstr>8826fe04-f5a5-4da3-babf-5a8f1f238a9e</vt:lpwstr>
  </property>
  <property fmtid="{D5CDD505-2E9C-101B-9397-08002B2CF9AE}" pid="18" name="MSIP_Label_3f3ac890-09a1-47d3-8d04-15427d7fec91_ContentBits">
    <vt:lpwstr>0</vt:lpwstr>
  </property>
  <property fmtid="{D5CDD505-2E9C-101B-9397-08002B2CF9AE}" pid="19" name="MSIP_Label_3f3ac890-09a1-47d3-8d04-15427d7fec91_Tag">
    <vt:lpwstr>10, 3, 0, 1</vt:lpwstr>
  </property>
</Properties>
</file>