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737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12" w:type="dxa"/>
          <w:right w:w="0" w:type="dxa"/>
        </w:tblCellMar>
        <w:tblLook w:val="04A0" w:firstRow="1" w:lastRow="0" w:firstColumn="1" w:lastColumn="0" w:noHBand="0" w:noVBand="1"/>
      </w:tblPr>
      <w:tblGrid>
        <w:gridCol w:w="7370"/>
      </w:tblGrid>
      <w:tr w:rsidR="0033108C" w:rsidRPr="00871B32" w14:paraId="497F5AFB" w14:textId="77777777" w:rsidTr="009A53A0">
        <w:trPr>
          <w:trHeight w:hRule="exact" w:val="595"/>
        </w:trPr>
        <w:tc>
          <w:tcPr>
            <w:tcW w:w="7370" w:type="dxa"/>
          </w:tcPr>
          <w:p w14:paraId="1C998B3D" w14:textId="4F40D795" w:rsidR="0033108C" w:rsidRPr="00D764A7" w:rsidRDefault="0033108C" w:rsidP="001D028C">
            <w:pPr>
              <w:pStyle w:val="Titolo2"/>
            </w:pPr>
          </w:p>
        </w:tc>
      </w:tr>
      <w:tr w:rsidR="00D62638" w:rsidRPr="005B787E" w14:paraId="0358193D" w14:textId="77777777" w:rsidTr="009A53A0">
        <w:trPr>
          <w:trHeight w:hRule="exact" w:val="1758"/>
        </w:trPr>
        <w:tc>
          <w:tcPr>
            <w:tcW w:w="7370" w:type="dxa"/>
          </w:tcPr>
          <w:p w14:paraId="682C3773" w14:textId="243E30FC" w:rsidR="00D62638" w:rsidRPr="00FC0BE2" w:rsidRDefault="00FC0BE2" w:rsidP="000A262F">
            <w:pPr>
              <w:pStyle w:val="Titolo1"/>
              <w:rPr>
                <w:lang w:val="it-IT"/>
              </w:rPr>
            </w:pPr>
            <w:r w:rsidRPr="00FC0BE2">
              <w:rPr>
                <w:lang w:val="it-IT"/>
              </w:rPr>
              <w:t xml:space="preserve">Schaeffler presenta risultati solidi per il 2025 </w:t>
            </w:r>
          </w:p>
        </w:tc>
      </w:tr>
      <w:tr w:rsidR="00AB5AB6" w:rsidRPr="005B787E" w14:paraId="01799C92" w14:textId="77777777" w:rsidTr="009A53A0">
        <w:trPr>
          <w:trHeight w:hRule="exact" w:val="737"/>
        </w:trPr>
        <w:tc>
          <w:tcPr>
            <w:tcW w:w="7370" w:type="dxa"/>
          </w:tcPr>
          <w:p w14:paraId="65CCEBA9" w14:textId="55D23C18" w:rsidR="00AB5AB6" w:rsidRPr="00FC0BE2" w:rsidRDefault="00AB5AB6" w:rsidP="006A5C61">
            <w:pPr>
              <w:rPr>
                <w:lang w:val="it-IT"/>
              </w:rPr>
            </w:pPr>
          </w:p>
        </w:tc>
      </w:tr>
    </w:tbl>
    <w:p w14:paraId="4CB970BF" w14:textId="20873E40" w:rsidR="00810BD1" w:rsidRPr="00810BD1" w:rsidRDefault="00810BD1" w:rsidP="00810BD1">
      <w:pPr>
        <w:pStyle w:val="Paragrafoelenco"/>
        <w:rPr>
          <w:lang w:val="it-IT" w:eastAsia="it-IT"/>
        </w:rPr>
      </w:pPr>
      <w:bookmarkStart w:id="0" w:name="_Hlk14262545"/>
      <w:r w:rsidRPr="00810BD1">
        <w:rPr>
          <w:lang w:val="it-IT" w:eastAsia="it-IT"/>
        </w:rPr>
        <w:t>Fatturato pari a 23,5 miliardi di euro, stabile rispetto all’anno precedente (proforma anno precedente 2024: 24,3 miliardi di euro)</w:t>
      </w:r>
    </w:p>
    <w:p w14:paraId="4C42D53F" w14:textId="6932BEB6" w:rsidR="00810BD1" w:rsidRPr="00810BD1" w:rsidRDefault="00810BD1" w:rsidP="00810BD1">
      <w:pPr>
        <w:pStyle w:val="Paragrafoelenco"/>
        <w:rPr>
          <w:lang w:val="it-IT" w:eastAsia="it-IT"/>
        </w:rPr>
      </w:pPr>
      <w:r w:rsidRPr="00810BD1">
        <w:rPr>
          <w:lang w:val="it-IT" w:eastAsia="it-IT"/>
        </w:rPr>
        <w:t>EBIT prima delle operazioni straordinarie migliorato a 936 milioni di euro (proforma anno precedente 2024: 842 milioni di euro). Margine EBIT prima delle operazioni straordinarie al 4,0</w:t>
      </w:r>
      <w:r>
        <w:rPr>
          <w:lang w:val="it-IT" w:eastAsia="it-IT"/>
        </w:rPr>
        <w:t xml:space="preserve"> percento</w:t>
      </w:r>
      <w:r w:rsidRPr="00810BD1">
        <w:rPr>
          <w:lang w:val="it-IT" w:eastAsia="it-IT"/>
        </w:rPr>
        <w:t>, superiore</w:t>
      </w:r>
      <w:r>
        <w:rPr>
          <w:lang w:val="it-IT" w:eastAsia="it-IT"/>
        </w:rPr>
        <w:t xml:space="preserve"> rispetto</w:t>
      </w:r>
      <w:r w:rsidRPr="00810BD1">
        <w:rPr>
          <w:lang w:val="it-IT" w:eastAsia="it-IT"/>
        </w:rPr>
        <w:t xml:space="preserve"> all’anno precedente (proforma anno precedente 2024: 3,5</w:t>
      </w:r>
      <w:r>
        <w:rPr>
          <w:lang w:val="it-IT" w:eastAsia="it-IT"/>
        </w:rPr>
        <w:t xml:space="preserve"> percento</w:t>
      </w:r>
      <w:r w:rsidRPr="00810BD1">
        <w:rPr>
          <w:lang w:val="it-IT" w:eastAsia="it-IT"/>
        </w:rPr>
        <w:t>)</w:t>
      </w:r>
    </w:p>
    <w:p w14:paraId="3A21E3CE" w14:textId="2CC8BF35" w:rsidR="00810BD1" w:rsidRPr="00810BD1" w:rsidRDefault="00810BD1" w:rsidP="00810BD1">
      <w:pPr>
        <w:pStyle w:val="Paragrafoelenco"/>
        <w:rPr>
          <w:lang w:val="it-IT" w:eastAsia="it-IT"/>
        </w:rPr>
      </w:pPr>
      <w:r w:rsidRPr="00810BD1">
        <w:rPr>
          <w:lang w:val="it-IT" w:eastAsia="it-IT"/>
        </w:rPr>
        <w:t>L</w:t>
      </w:r>
      <w:r w:rsidR="001E40F5">
        <w:rPr>
          <w:lang w:val="it-IT" w:eastAsia="it-IT"/>
        </w:rPr>
        <w:t xml:space="preserve">a Divisione </w:t>
      </w:r>
      <w:r w:rsidRPr="00810BD1">
        <w:rPr>
          <w:lang w:val="it-IT" w:eastAsia="it-IT"/>
        </w:rPr>
        <w:t>E</w:t>
      </w:r>
      <w:r w:rsidRPr="00810BD1">
        <w:rPr>
          <w:lang w:val="it-IT" w:eastAsia="it-IT"/>
        </w:rPr>
        <w:noBreakHyphen/>
        <w:t>Mobility cresce e migliora il margine EBIT; Powertrain &amp; Chassis e Vehicle Lifetime Solutions contribuiscono con risultati molto solidi; Bearings &amp; Industrial Solutions incrementa l’EBIT</w:t>
      </w:r>
    </w:p>
    <w:p w14:paraId="67DABA94" w14:textId="7C391758" w:rsidR="00E21000" w:rsidRPr="00E21000" w:rsidRDefault="00E21000" w:rsidP="00E21000">
      <w:pPr>
        <w:pStyle w:val="Paragrafoelenco"/>
        <w:rPr>
          <w:lang w:val="it-IT" w:eastAsia="it-IT"/>
        </w:rPr>
      </w:pPr>
      <w:r>
        <w:rPr>
          <w:lang w:val="it-IT" w:eastAsia="it-IT"/>
        </w:rPr>
        <w:t>N</w:t>
      </w:r>
      <w:r w:rsidRPr="00E21000">
        <w:rPr>
          <w:lang w:val="it-IT" w:eastAsia="it-IT"/>
        </w:rPr>
        <w:t>uove aree di crescita</w:t>
      </w:r>
      <w:r>
        <w:rPr>
          <w:lang w:val="it-IT" w:eastAsia="it-IT"/>
        </w:rPr>
        <w:t xml:space="preserve"> identificate</w:t>
      </w:r>
      <w:r w:rsidRPr="00E21000">
        <w:rPr>
          <w:lang w:val="it-IT" w:eastAsia="it-IT"/>
        </w:rPr>
        <w:t xml:space="preserve">: focus sulla robotica umanoide e sul business </w:t>
      </w:r>
      <w:r w:rsidR="001E40F5">
        <w:rPr>
          <w:lang w:val="it-IT" w:eastAsia="it-IT"/>
        </w:rPr>
        <w:t xml:space="preserve">nel settore </w:t>
      </w:r>
      <w:r w:rsidRPr="00E21000">
        <w:rPr>
          <w:lang w:val="it-IT" w:eastAsia="it-IT"/>
        </w:rPr>
        <w:t>della difesa</w:t>
      </w:r>
    </w:p>
    <w:p w14:paraId="0BF0D7F2" w14:textId="6E9589FB" w:rsidR="00E21000" w:rsidRPr="00E21000" w:rsidRDefault="00E21000" w:rsidP="00E21000">
      <w:pPr>
        <w:pStyle w:val="Paragrafoelenco"/>
        <w:rPr>
          <w:lang w:val="it-IT" w:eastAsia="it-IT"/>
        </w:rPr>
      </w:pPr>
      <w:r w:rsidRPr="00E21000">
        <w:rPr>
          <w:lang w:val="it-IT" w:eastAsia="it-IT"/>
        </w:rPr>
        <w:t>Free cash flow prima dei flussi di cassa per attività di M&amp;A</w:t>
      </w:r>
      <w:r>
        <w:rPr>
          <w:lang w:val="it-IT" w:eastAsia="it-IT"/>
        </w:rPr>
        <w:t xml:space="preserve"> </w:t>
      </w:r>
      <w:r w:rsidRPr="00E21000">
        <w:rPr>
          <w:lang w:val="it-IT" w:eastAsia="it-IT"/>
        </w:rPr>
        <w:t xml:space="preserve">(fusioni e acquisizioni) pari a 266 milioni di euro, notevolmente superiore </w:t>
      </w:r>
      <w:r>
        <w:rPr>
          <w:lang w:val="it-IT" w:eastAsia="it-IT"/>
        </w:rPr>
        <w:t xml:space="preserve">rispetto </w:t>
      </w:r>
      <w:r w:rsidRPr="00E21000">
        <w:rPr>
          <w:lang w:val="it-IT" w:eastAsia="it-IT"/>
        </w:rPr>
        <w:t xml:space="preserve">all’anno precedente e al livello indicato nelle previsioni (proforma anno precedente 2024: </w:t>
      </w:r>
      <w:r w:rsidR="00FD30E6">
        <w:rPr>
          <w:lang w:val="it-IT" w:eastAsia="it-IT"/>
        </w:rPr>
        <w:t>-</w:t>
      </w:r>
      <w:r w:rsidRPr="00E21000">
        <w:rPr>
          <w:lang w:val="it-IT" w:eastAsia="it-IT"/>
        </w:rPr>
        <w:t>694 milioni di euro)</w:t>
      </w:r>
    </w:p>
    <w:p w14:paraId="6609FAD3" w14:textId="062A35A7" w:rsidR="00BB338E" w:rsidRPr="00DA4CBC" w:rsidRDefault="00E21000" w:rsidP="00E21000">
      <w:pPr>
        <w:pStyle w:val="Paragrafoelenco"/>
        <w:rPr>
          <w:lang w:val="it-IT" w:eastAsia="it-IT"/>
        </w:rPr>
      </w:pPr>
      <w:r w:rsidRPr="00DA4CBC">
        <w:rPr>
          <w:lang w:val="it-IT" w:eastAsia="it-IT"/>
        </w:rPr>
        <w:t xml:space="preserve">Elevate spese </w:t>
      </w:r>
      <w:r w:rsidRPr="00D84056">
        <w:rPr>
          <w:lang w:val="it-IT" w:eastAsia="it-IT"/>
        </w:rPr>
        <w:t>una tantum</w:t>
      </w:r>
      <w:r w:rsidRPr="00DA4CBC">
        <w:rPr>
          <w:lang w:val="it-IT" w:eastAsia="it-IT"/>
        </w:rPr>
        <w:t xml:space="preserve"> incidono negativamente sul risultato</w:t>
      </w:r>
    </w:p>
    <w:bookmarkEnd w:id="0"/>
    <w:p w14:paraId="25AA27C6" w14:textId="77777777" w:rsidR="00E21000" w:rsidRPr="00E21000" w:rsidRDefault="00E21000" w:rsidP="00E21000">
      <w:pPr>
        <w:pStyle w:val="Paragrafoelenco"/>
        <w:rPr>
          <w:lang w:val="it-IT" w:eastAsia="it-IT"/>
        </w:rPr>
      </w:pPr>
      <w:r w:rsidRPr="00E21000">
        <w:rPr>
          <w:lang w:val="it-IT" w:eastAsia="it-IT"/>
        </w:rPr>
        <w:t>Proposta di dividendo pari a 0,30 euro per azione (anno precedente: 0,25 euro)</w:t>
      </w:r>
    </w:p>
    <w:p w14:paraId="4CF2CB92" w14:textId="32482E8F" w:rsidR="00F453D9" w:rsidRPr="00EC43CA" w:rsidRDefault="00501E46" w:rsidP="00F453D9">
      <w:pPr>
        <w:rPr>
          <w:lang w:val="it-IT"/>
        </w:rPr>
      </w:pPr>
      <w:r w:rsidRPr="00EC43CA">
        <w:rPr>
          <w:lang w:val="it-IT"/>
        </w:rPr>
        <w:t xml:space="preserve">Herzogenaurach | </w:t>
      </w:r>
      <w:r w:rsidR="00EC43CA" w:rsidRPr="00EC43CA">
        <w:rPr>
          <w:lang w:val="it-IT"/>
        </w:rPr>
        <w:t>3 marzo</w:t>
      </w:r>
      <w:r w:rsidRPr="00EC43CA">
        <w:rPr>
          <w:lang w:val="it-IT"/>
        </w:rPr>
        <w:t xml:space="preserve"> 2026 | </w:t>
      </w:r>
      <w:r w:rsidR="001E40F5">
        <w:rPr>
          <w:lang w:val="it-IT"/>
        </w:rPr>
        <w:t>Il</w:t>
      </w:r>
      <w:r w:rsidR="00EC43CA" w:rsidRPr="00EC43CA">
        <w:rPr>
          <w:lang w:val="it-IT"/>
        </w:rPr>
        <w:t xml:space="preserve"> Gruppo Schaeffler ha pubblicato oggi i risultati per il 2025. Il fatturato del periodo di riferimento è diminuito leggermente, registrando un calo dello 0,6</w:t>
      </w:r>
      <w:r w:rsidR="00562AA7">
        <w:rPr>
          <w:lang w:val="it-IT"/>
        </w:rPr>
        <w:t xml:space="preserve"> percento</w:t>
      </w:r>
      <w:r w:rsidR="00EC43CA" w:rsidRPr="00EC43CA">
        <w:rPr>
          <w:lang w:val="it-IT"/>
        </w:rPr>
        <w:t xml:space="preserve"> a 23.492 milioni di euro (proforma anno precedente: 24.313 milioni di euro),</w:t>
      </w:r>
      <w:r w:rsidR="00562AA7">
        <w:rPr>
          <w:lang w:val="it-IT"/>
        </w:rPr>
        <w:t xml:space="preserve"> comparato</w:t>
      </w:r>
      <w:r w:rsidR="00EC43CA" w:rsidRPr="00EC43CA">
        <w:rPr>
          <w:lang w:val="it-IT"/>
        </w:rPr>
        <w:t xml:space="preserve"> su</w:t>
      </w:r>
      <w:r w:rsidR="00562AA7">
        <w:rPr>
          <w:lang w:val="it-IT"/>
        </w:rPr>
        <w:t xml:space="preserve"> una</w:t>
      </w:r>
      <w:r w:rsidR="00EC43CA" w:rsidRPr="00EC43CA">
        <w:rPr>
          <w:lang w:val="it-IT"/>
        </w:rPr>
        <w:t xml:space="preserve"> base proforma</w:t>
      </w:r>
      <w:r w:rsidR="0027503A">
        <w:rPr>
          <w:rStyle w:val="Rimandonotaapidipagina"/>
        </w:rPr>
        <w:footnoteReference w:id="1"/>
      </w:r>
      <w:r w:rsidRPr="00EC43CA">
        <w:rPr>
          <w:lang w:val="it-IT"/>
        </w:rPr>
        <w:t xml:space="preserve"> </w:t>
      </w:r>
      <w:r w:rsidR="00EC43CA" w:rsidRPr="00EC43CA">
        <w:rPr>
          <w:lang w:val="it-IT"/>
        </w:rPr>
        <w:t>e al netto degli effetti di cambio</w:t>
      </w:r>
      <w:r w:rsidRPr="00EC43CA">
        <w:rPr>
          <w:lang w:val="it-IT"/>
        </w:rPr>
        <w:t>.</w:t>
      </w:r>
    </w:p>
    <w:p w14:paraId="6D13486D" w14:textId="0BC0C056" w:rsidR="00127218" w:rsidRPr="00517E83" w:rsidRDefault="00517E83" w:rsidP="00F453D9">
      <w:pPr>
        <w:rPr>
          <w:lang w:val="it-IT"/>
        </w:rPr>
      </w:pPr>
      <w:r w:rsidRPr="00517E83">
        <w:rPr>
          <w:lang w:val="it-IT"/>
        </w:rPr>
        <w:t>Mentre il fatturato nelle regioni Americas e Asia/Pacific è aumentato rispettivamente del 2,4</w:t>
      </w:r>
      <w:r>
        <w:rPr>
          <w:lang w:val="it-IT"/>
        </w:rPr>
        <w:t xml:space="preserve"> percento</w:t>
      </w:r>
      <w:r w:rsidRPr="00517E83">
        <w:rPr>
          <w:lang w:val="it-IT"/>
        </w:rPr>
        <w:t xml:space="preserve"> e del 5,1</w:t>
      </w:r>
      <w:r>
        <w:rPr>
          <w:lang w:val="it-IT"/>
        </w:rPr>
        <w:t xml:space="preserve"> percento</w:t>
      </w:r>
      <w:r w:rsidRPr="00517E83">
        <w:rPr>
          <w:lang w:val="it-IT"/>
        </w:rPr>
        <w:t xml:space="preserve"> rispetto all’anno precedente, </w:t>
      </w:r>
      <w:r>
        <w:rPr>
          <w:lang w:val="it-IT"/>
        </w:rPr>
        <w:lastRenderedPageBreak/>
        <w:t>comparato su una</w:t>
      </w:r>
      <w:r w:rsidRPr="00517E83">
        <w:rPr>
          <w:lang w:val="it-IT"/>
        </w:rPr>
        <w:t xml:space="preserve"> base proforma e al netto degli effetti di cambio, il fatturato nelle regioni Europ</w:t>
      </w:r>
      <w:r>
        <w:rPr>
          <w:lang w:val="it-IT"/>
        </w:rPr>
        <w:t>e</w:t>
      </w:r>
      <w:r w:rsidRPr="00517E83">
        <w:rPr>
          <w:lang w:val="it-IT"/>
        </w:rPr>
        <w:t xml:space="preserve"> e Greater China è risultato inferiore</w:t>
      </w:r>
      <w:r w:rsidR="001E40F5">
        <w:rPr>
          <w:lang w:val="it-IT"/>
        </w:rPr>
        <w:t xml:space="preserve"> rispettivamente</w:t>
      </w:r>
      <w:r w:rsidRPr="00517E83">
        <w:rPr>
          <w:lang w:val="it-IT"/>
        </w:rPr>
        <w:t xml:space="preserve"> del 2,3</w:t>
      </w:r>
      <w:r>
        <w:rPr>
          <w:lang w:val="it-IT"/>
        </w:rPr>
        <w:t xml:space="preserve"> percento</w:t>
      </w:r>
      <w:r w:rsidRPr="00517E83">
        <w:rPr>
          <w:lang w:val="it-IT"/>
        </w:rPr>
        <w:t xml:space="preserve"> e del 4,2</w:t>
      </w:r>
      <w:r>
        <w:rPr>
          <w:lang w:val="it-IT"/>
        </w:rPr>
        <w:t xml:space="preserve"> percento</w:t>
      </w:r>
      <w:r w:rsidRPr="00517E83">
        <w:rPr>
          <w:lang w:val="it-IT"/>
        </w:rPr>
        <w:t xml:space="preserve"> rispetto all’anno precedente, </w:t>
      </w:r>
      <w:r>
        <w:rPr>
          <w:lang w:val="it-IT"/>
        </w:rPr>
        <w:t>comparato su una</w:t>
      </w:r>
      <w:r w:rsidRPr="00517E83">
        <w:rPr>
          <w:lang w:val="it-IT"/>
        </w:rPr>
        <w:t xml:space="preserve"> base proforma e al netto degli effetti di cambio</w:t>
      </w:r>
      <w:r w:rsidR="00545FDD" w:rsidRPr="00517E83">
        <w:rPr>
          <w:lang w:val="it-IT"/>
        </w:rPr>
        <w:t xml:space="preserve">. </w:t>
      </w:r>
    </w:p>
    <w:p w14:paraId="4A345AB7" w14:textId="629DEC93" w:rsidR="00127218" w:rsidRPr="00517E83" w:rsidRDefault="00517E83" w:rsidP="00F453D9">
      <w:pPr>
        <w:rPr>
          <w:lang w:val="it-IT"/>
        </w:rPr>
      </w:pPr>
      <w:r w:rsidRPr="00517E83">
        <w:rPr>
          <w:lang w:val="it-IT"/>
        </w:rPr>
        <w:t>Schaeffler AG ha generato 936 milioni di euro di utile prima del risultato finanziario, delle imposte sul reddito (EBIT) e prima delle operazioni straordinarie nel periodo di riferimento (proforma anno precedente: 842 milioni di euro). Ciò corrisponde a un margine EBIT prima delle operazioni straordinarie pari al 4,0</w:t>
      </w:r>
      <w:r>
        <w:rPr>
          <w:lang w:val="it-IT"/>
        </w:rPr>
        <w:t xml:space="preserve"> percento</w:t>
      </w:r>
      <w:r w:rsidRPr="00517E83">
        <w:rPr>
          <w:lang w:val="it-IT"/>
        </w:rPr>
        <w:t xml:space="preserve"> (proforma anno precedente: 3,5</w:t>
      </w:r>
      <w:r>
        <w:rPr>
          <w:lang w:val="it-IT"/>
        </w:rPr>
        <w:t xml:space="preserve"> percento</w:t>
      </w:r>
      <w:r w:rsidRPr="00517E83">
        <w:rPr>
          <w:lang w:val="it-IT"/>
        </w:rPr>
        <w:t>). Il free cash flow del Gruppo Schaeffler, prima dei flussi di cassa per attività di M&amp;A</w:t>
      </w:r>
      <w:r>
        <w:rPr>
          <w:lang w:val="it-IT"/>
        </w:rPr>
        <w:t xml:space="preserve"> (fusioni e acquisizioni)</w:t>
      </w:r>
      <w:r w:rsidRPr="00517E83">
        <w:rPr>
          <w:lang w:val="it-IT"/>
        </w:rPr>
        <w:t xml:space="preserve">, è stato pari a 266 milioni di euro (proforma anno precedente: </w:t>
      </w:r>
      <w:r w:rsidR="00500906">
        <w:rPr>
          <w:lang w:val="it-IT"/>
        </w:rPr>
        <w:t>-</w:t>
      </w:r>
      <w:r w:rsidRPr="00517E83">
        <w:rPr>
          <w:lang w:val="it-IT"/>
        </w:rPr>
        <w:t>694 milioni di euro) e ha superato la guidance rivista al 28 ottobre 2025</w:t>
      </w:r>
      <w:r>
        <w:rPr>
          <w:lang w:val="it-IT"/>
        </w:rPr>
        <w:t xml:space="preserve"> </w:t>
      </w:r>
      <w:r w:rsidR="00296D53" w:rsidRPr="00517E83">
        <w:rPr>
          <w:lang w:val="it-IT"/>
        </w:rPr>
        <w:t>[</w:t>
      </w:r>
      <w:r>
        <w:rPr>
          <w:lang w:val="it-IT"/>
        </w:rPr>
        <w:t xml:space="preserve">da </w:t>
      </w:r>
      <w:r w:rsidR="00296D53" w:rsidRPr="00517E83">
        <w:rPr>
          <w:lang w:val="it-IT"/>
        </w:rPr>
        <w:t xml:space="preserve">0 </w:t>
      </w:r>
      <w:r>
        <w:rPr>
          <w:lang w:val="it-IT"/>
        </w:rPr>
        <w:t xml:space="preserve">a </w:t>
      </w:r>
      <w:r w:rsidR="00296D53" w:rsidRPr="00517E83">
        <w:rPr>
          <w:lang w:val="it-IT"/>
        </w:rPr>
        <w:t xml:space="preserve">200 </w:t>
      </w:r>
      <w:r w:rsidR="00751EA1" w:rsidRPr="00517E83">
        <w:rPr>
          <w:lang w:val="it-IT"/>
        </w:rPr>
        <w:t>milion</w:t>
      </w:r>
      <w:r>
        <w:rPr>
          <w:lang w:val="it-IT"/>
        </w:rPr>
        <w:t>i di</w:t>
      </w:r>
      <w:r w:rsidR="00296D53" w:rsidRPr="00517E83">
        <w:rPr>
          <w:lang w:val="it-IT"/>
        </w:rPr>
        <w:t xml:space="preserve"> euro].</w:t>
      </w:r>
    </w:p>
    <w:p w14:paraId="3C13C15C" w14:textId="6AE91F82" w:rsidR="00501E46" w:rsidRPr="00F200D9" w:rsidRDefault="00770A45" w:rsidP="00B13126">
      <w:pPr>
        <w:rPr>
          <w:bCs/>
          <w:lang w:val="it-IT"/>
        </w:rPr>
      </w:pPr>
      <w:r w:rsidRPr="00F200D9">
        <w:rPr>
          <w:rStyle w:val="Enfasigrassetto"/>
          <w:b w:val="0"/>
          <w:lang w:val="it-IT"/>
        </w:rPr>
        <w:t>“</w:t>
      </w:r>
      <w:r w:rsidR="00F200D9" w:rsidRPr="00F200D9">
        <w:rPr>
          <w:bCs/>
          <w:lang w:val="it-IT"/>
        </w:rPr>
        <w:t>In un contesto sfidante, il Gruppo Schaeffler ha proseguito con successo la propria trasformazione in una Motion Technology Company globale di riferimento, articolata in quattro divisioni orientate al prodotto e otto famiglie di prodotti. Stiamo registrando buoni progressi nel nostro core business. Ciò vale in particolare per la divisione E</w:t>
      </w:r>
      <w:r w:rsidR="00F200D9" w:rsidRPr="00F200D9">
        <w:rPr>
          <w:bCs/>
          <w:lang w:val="it-IT"/>
        </w:rPr>
        <w:noBreakHyphen/>
        <w:t>Mobility, dove siamo cresciuti più della media. Inoltre, stiamo gradualmente accedendo a nuove aree di crescita nella robotica umanoide e nel settore della difesa, con l’obiettivo strategico di generare fino al dieci percento del nostro fatturato da nuove aree di crescita entro il 2035. Siamo in anticipo rispetto ai piani nell’attuazione del programma di miglioramento dei risultati annunciato nel 2024. Sulla base del solido free cash flow, intendiamo condividere il successo del Gruppo Schaeffler con i nostri azionisti proponendo il pagamento di un dividendo pari a 0,30 euro</w:t>
      </w:r>
      <w:r w:rsidR="00F200D9">
        <w:rPr>
          <w:bCs/>
          <w:lang w:val="it-IT"/>
        </w:rPr>
        <w:t xml:space="preserve"> per azione</w:t>
      </w:r>
      <w:r w:rsidRPr="00F200D9">
        <w:rPr>
          <w:rStyle w:val="Enfasigrassetto"/>
          <w:b w:val="0"/>
          <w:lang w:val="it-IT"/>
        </w:rPr>
        <w:t xml:space="preserve">,” </w:t>
      </w:r>
      <w:r w:rsidR="00867BDF">
        <w:rPr>
          <w:rStyle w:val="Enfasigrassetto"/>
          <w:b w:val="0"/>
          <w:lang w:val="it-IT"/>
        </w:rPr>
        <w:t xml:space="preserve">ha </w:t>
      </w:r>
      <w:r w:rsidR="001E40F5">
        <w:rPr>
          <w:rStyle w:val="Enfasigrassetto"/>
          <w:b w:val="0"/>
          <w:lang w:val="it-IT"/>
        </w:rPr>
        <w:t>dichiarato</w:t>
      </w:r>
      <w:r w:rsidRPr="00F200D9">
        <w:rPr>
          <w:rStyle w:val="Enfasigrassetto"/>
          <w:b w:val="0"/>
          <w:lang w:val="it-IT"/>
        </w:rPr>
        <w:t xml:space="preserve"> Klaus Rosenfeld, CEO </w:t>
      </w:r>
      <w:r w:rsidR="00867BDF">
        <w:rPr>
          <w:rStyle w:val="Enfasigrassetto"/>
          <w:b w:val="0"/>
          <w:lang w:val="it-IT"/>
        </w:rPr>
        <w:t>di</w:t>
      </w:r>
      <w:r w:rsidRPr="00F200D9">
        <w:rPr>
          <w:rStyle w:val="Enfasigrassetto"/>
          <w:b w:val="0"/>
          <w:lang w:val="it-IT"/>
        </w:rPr>
        <w:t xml:space="preserve"> Schaeffler AG.</w:t>
      </w:r>
    </w:p>
    <w:p w14:paraId="0D1C17B1" w14:textId="77777777" w:rsidR="00501E46" w:rsidRPr="00F200D9" w:rsidRDefault="00501E46">
      <w:pPr>
        <w:rPr>
          <w:lang w:val="it-IT"/>
        </w:rPr>
      </w:pPr>
    </w:p>
    <w:tbl>
      <w:tblPr>
        <w:tblW w:w="5812" w:type="dxa"/>
        <w:tblLayout w:type="fixed"/>
        <w:tblCellMar>
          <w:left w:w="70" w:type="dxa"/>
          <w:right w:w="70" w:type="dxa"/>
        </w:tblCellMar>
        <w:tblLook w:val="04A0" w:firstRow="1" w:lastRow="0" w:firstColumn="1" w:lastColumn="0" w:noHBand="0" w:noVBand="1"/>
      </w:tblPr>
      <w:tblGrid>
        <w:gridCol w:w="1587"/>
        <w:gridCol w:w="213"/>
        <w:gridCol w:w="850"/>
        <w:gridCol w:w="215"/>
        <w:gridCol w:w="850"/>
        <w:gridCol w:w="215"/>
        <w:gridCol w:w="1882"/>
      </w:tblGrid>
      <w:tr w:rsidR="00501E46" w:rsidRPr="005B787E" w14:paraId="6BA2C7D0" w14:textId="77777777" w:rsidTr="00FA413D">
        <w:trPr>
          <w:cantSplit/>
          <w:trHeight w:val="283"/>
        </w:trPr>
        <w:tc>
          <w:tcPr>
            <w:tcW w:w="5812" w:type="dxa"/>
            <w:gridSpan w:val="7"/>
            <w:tcBorders>
              <w:left w:val="nil"/>
              <w:right w:val="nil"/>
            </w:tcBorders>
            <w:noWrap/>
            <w:vAlign w:val="center"/>
          </w:tcPr>
          <w:p w14:paraId="02C21B6D" w14:textId="4C87E531" w:rsidR="00501E46" w:rsidRPr="00F200D9" w:rsidRDefault="00F200D9" w:rsidP="00FA413D">
            <w:pPr>
              <w:keepLines/>
              <w:spacing w:line="240" w:lineRule="auto"/>
              <w:rPr>
                <w:rFonts w:ascii="Calibri" w:eastAsia="Times New Roman" w:hAnsi="Calibri" w:cs="Calibri"/>
                <w:b/>
                <w:bCs/>
                <w:sz w:val="14"/>
                <w:szCs w:val="14"/>
                <w:lang w:val="it-IT"/>
              </w:rPr>
            </w:pPr>
            <w:r w:rsidRPr="00F200D9">
              <w:rPr>
                <w:rFonts w:ascii="Calibri" w:hAnsi="Calibri"/>
                <w:b/>
                <w:lang w:val="it-IT"/>
              </w:rPr>
              <w:t xml:space="preserve">Risultati finanziari chiave del </w:t>
            </w:r>
            <w:r>
              <w:rPr>
                <w:rFonts w:ascii="Calibri" w:hAnsi="Calibri"/>
                <w:b/>
                <w:lang w:val="it-IT"/>
              </w:rPr>
              <w:t>Gruppo Schaeffler</w:t>
            </w:r>
          </w:p>
        </w:tc>
      </w:tr>
      <w:tr w:rsidR="00501E46" w:rsidRPr="005B787E" w14:paraId="6D730478" w14:textId="77777777" w:rsidTr="00FA413D">
        <w:trPr>
          <w:cantSplit/>
          <w:trHeight w:val="283"/>
        </w:trPr>
        <w:tc>
          <w:tcPr>
            <w:tcW w:w="5812" w:type="dxa"/>
            <w:gridSpan w:val="7"/>
            <w:tcBorders>
              <w:left w:val="nil"/>
              <w:right w:val="nil"/>
            </w:tcBorders>
            <w:noWrap/>
            <w:vAlign w:val="center"/>
          </w:tcPr>
          <w:p w14:paraId="0273F6DF" w14:textId="5B5C6579" w:rsidR="00501E46" w:rsidRPr="00F200D9" w:rsidRDefault="00D80708" w:rsidP="00FA413D">
            <w:pPr>
              <w:keepLines/>
              <w:spacing w:line="240" w:lineRule="auto"/>
              <w:jc w:val="center"/>
              <w:rPr>
                <w:rFonts w:ascii="Calibri" w:eastAsia="Times New Roman" w:hAnsi="Calibri" w:cs="Calibri"/>
                <w:sz w:val="14"/>
                <w:szCs w:val="14"/>
                <w:lang w:val="it-IT"/>
              </w:rPr>
            </w:pPr>
            <w:r w:rsidRPr="00F200D9">
              <w:rPr>
                <w:rFonts w:ascii="Calibri" w:hAnsi="Calibri"/>
                <w:sz w:val="14"/>
                <w:lang w:val="it-IT"/>
              </w:rPr>
              <w:t xml:space="preserve">  </w:t>
            </w:r>
            <w:r w:rsidR="00501E46" w:rsidRPr="00F200D9">
              <w:rPr>
                <w:rFonts w:ascii="Calibri" w:hAnsi="Calibri"/>
                <w:sz w:val="14"/>
                <w:lang w:val="it-IT"/>
              </w:rPr>
              <w:t xml:space="preserve"> </w:t>
            </w:r>
          </w:p>
        </w:tc>
      </w:tr>
      <w:tr w:rsidR="00FA413D" w:rsidRPr="00FF48CA" w14:paraId="60DFC2E8" w14:textId="77777777" w:rsidTr="005602C9">
        <w:trPr>
          <w:cantSplit/>
          <w:trHeight w:val="283"/>
        </w:trPr>
        <w:tc>
          <w:tcPr>
            <w:tcW w:w="1587" w:type="dxa"/>
            <w:tcBorders>
              <w:top w:val="single" w:sz="4" w:space="0" w:color="auto"/>
              <w:left w:val="nil"/>
              <w:bottom w:val="single" w:sz="8" w:space="0" w:color="707070"/>
              <w:right w:val="nil"/>
            </w:tcBorders>
            <w:noWrap/>
            <w:vAlign w:val="center"/>
            <w:hideMark/>
          </w:tcPr>
          <w:p w14:paraId="707F54D2" w14:textId="02ADB51E" w:rsidR="00501E46" w:rsidRPr="00FF48CA" w:rsidRDefault="00501E46" w:rsidP="00FA413D">
            <w:pPr>
              <w:keepLines/>
              <w:spacing w:line="240" w:lineRule="auto"/>
              <w:rPr>
                <w:rFonts w:ascii="Calibri" w:eastAsia="Times New Roman" w:hAnsi="Calibri" w:cs="Calibri"/>
                <w:sz w:val="14"/>
                <w:szCs w:val="14"/>
              </w:rPr>
            </w:pPr>
            <w:r>
              <w:rPr>
                <w:rFonts w:ascii="Calibri" w:hAnsi="Calibri"/>
                <w:sz w:val="14"/>
              </w:rPr>
              <w:t>in €</w:t>
            </w:r>
            <w:r w:rsidR="00751EA1">
              <w:rPr>
                <w:rFonts w:ascii="Calibri" w:hAnsi="Calibri"/>
                <w:sz w:val="14"/>
              </w:rPr>
              <w:t> million</w:t>
            </w:r>
            <w:r>
              <w:rPr>
                <w:rFonts w:ascii="Calibri" w:hAnsi="Calibri"/>
                <w:sz w:val="14"/>
              </w:rPr>
              <w:t>s</w:t>
            </w:r>
          </w:p>
        </w:tc>
        <w:tc>
          <w:tcPr>
            <w:tcW w:w="213" w:type="dxa"/>
            <w:tcBorders>
              <w:left w:val="nil"/>
              <w:bottom w:val="nil"/>
              <w:right w:val="nil"/>
            </w:tcBorders>
            <w:noWrap/>
            <w:vAlign w:val="bottom"/>
            <w:hideMark/>
          </w:tcPr>
          <w:p w14:paraId="5FE5E569" w14:textId="77777777" w:rsidR="00501E46" w:rsidRPr="00FF48CA" w:rsidRDefault="00501E46" w:rsidP="00FA413D">
            <w:pPr>
              <w:keepLines/>
              <w:spacing w:line="240" w:lineRule="auto"/>
              <w:rPr>
                <w:rFonts w:ascii="Calibri" w:eastAsia="Times New Roman" w:hAnsi="Calibri" w:cs="Calibri"/>
                <w:sz w:val="14"/>
                <w:szCs w:val="14"/>
                <w:lang w:eastAsia="de-DE"/>
              </w:rPr>
            </w:pPr>
          </w:p>
        </w:tc>
        <w:tc>
          <w:tcPr>
            <w:tcW w:w="850" w:type="dxa"/>
            <w:tcBorders>
              <w:top w:val="single" w:sz="4" w:space="0" w:color="auto"/>
              <w:left w:val="nil"/>
              <w:bottom w:val="single" w:sz="8" w:space="0" w:color="707070"/>
              <w:right w:val="nil"/>
            </w:tcBorders>
            <w:noWrap/>
            <w:vAlign w:val="center"/>
            <w:hideMark/>
          </w:tcPr>
          <w:p w14:paraId="119EE75B" w14:textId="77777777" w:rsidR="00501E46" w:rsidRPr="00FF48CA" w:rsidRDefault="00501E46" w:rsidP="00FA413D">
            <w:pPr>
              <w:keepLines/>
              <w:spacing w:line="240" w:lineRule="auto"/>
              <w:jc w:val="right"/>
              <w:rPr>
                <w:rFonts w:ascii="Calibri" w:eastAsia="Times New Roman" w:hAnsi="Calibri" w:cs="Calibri"/>
                <w:color w:val="00B050"/>
                <w:sz w:val="14"/>
                <w:szCs w:val="14"/>
              </w:rPr>
            </w:pPr>
            <w:r>
              <w:rPr>
                <w:rFonts w:ascii="Calibri" w:hAnsi="Calibri"/>
                <w:color w:val="00B050"/>
                <w:sz w:val="14"/>
              </w:rPr>
              <w:t>2025</w:t>
            </w:r>
          </w:p>
        </w:tc>
        <w:tc>
          <w:tcPr>
            <w:tcW w:w="215" w:type="dxa"/>
            <w:tcBorders>
              <w:left w:val="nil"/>
              <w:bottom w:val="nil"/>
              <w:right w:val="nil"/>
            </w:tcBorders>
            <w:noWrap/>
            <w:vAlign w:val="bottom"/>
            <w:hideMark/>
          </w:tcPr>
          <w:p w14:paraId="181E4B5A" w14:textId="77777777" w:rsidR="00501E46" w:rsidRPr="00FF48CA" w:rsidRDefault="00501E46" w:rsidP="00FA413D">
            <w:pPr>
              <w:keepLines/>
              <w:spacing w:line="240" w:lineRule="auto"/>
              <w:jc w:val="right"/>
              <w:rPr>
                <w:rFonts w:ascii="Calibri" w:eastAsia="Times New Roman" w:hAnsi="Calibri" w:cs="Calibri"/>
                <w:color w:val="00B050"/>
                <w:sz w:val="14"/>
                <w:szCs w:val="14"/>
                <w:lang w:eastAsia="de-DE"/>
              </w:rPr>
            </w:pPr>
          </w:p>
        </w:tc>
        <w:tc>
          <w:tcPr>
            <w:tcW w:w="850" w:type="dxa"/>
            <w:tcBorders>
              <w:top w:val="single" w:sz="4" w:space="0" w:color="auto"/>
              <w:left w:val="nil"/>
              <w:bottom w:val="single" w:sz="8" w:space="0" w:color="707070"/>
              <w:right w:val="nil"/>
            </w:tcBorders>
            <w:vAlign w:val="center"/>
          </w:tcPr>
          <w:p w14:paraId="5D3D8580" w14:textId="77777777" w:rsidR="00501E46" w:rsidRPr="00FF48CA" w:rsidRDefault="00501E46" w:rsidP="00FA413D">
            <w:pPr>
              <w:keepLines/>
              <w:spacing w:line="240" w:lineRule="auto"/>
              <w:jc w:val="right"/>
              <w:rPr>
                <w:rFonts w:ascii="Calibri" w:eastAsia="Times New Roman" w:hAnsi="Calibri" w:cs="Calibri"/>
                <w:sz w:val="14"/>
                <w:szCs w:val="14"/>
              </w:rPr>
            </w:pPr>
            <w:r>
              <w:rPr>
                <w:rFonts w:ascii="Calibri" w:hAnsi="Calibri"/>
                <w:sz w:val="14"/>
              </w:rPr>
              <w:t>2024</w:t>
            </w:r>
            <w:r>
              <w:rPr>
                <w:rFonts w:ascii="Calibri" w:hAnsi="Calibri"/>
                <w:sz w:val="14"/>
                <w:vertAlign w:val="superscript"/>
              </w:rPr>
              <w:t>3</w:t>
            </w:r>
          </w:p>
        </w:tc>
        <w:tc>
          <w:tcPr>
            <w:tcW w:w="215" w:type="dxa"/>
            <w:tcBorders>
              <w:left w:val="nil"/>
              <w:right w:val="nil"/>
            </w:tcBorders>
            <w:vAlign w:val="center"/>
          </w:tcPr>
          <w:p w14:paraId="1C37561F" w14:textId="77777777" w:rsidR="00501E46" w:rsidRPr="00FF48CA" w:rsidRDefault="00501E46" w:rsidP="00FA413D">
            <w:pPr>
              <w:keepLines/>
              <w:spacing w:line="240" w:lineRule="auto"/>
              <w:jc w:val="right"/>
              <w:rPr>
                <w:rFonts w:ascii="Calibri" w:eastAsia="Times New Roman" w:hAnsi="Calibri" w:cs="Calibri"/>
                <w:sz w:val="14"/>
                <w:szCs w:val="14"/>
                <w:lang w:eastAsia="de-DE"/>
              </w:rPr>
            </w:pPr>
          </w:p>
        </w:tc>
        <w:tc>
          <w:tcPr>
            <w:tcW w:w="1882" w:type="dxa"/>
            <w:tcBorders>
              <w:top w:val="single" w:sz="4" w:space="0" w:color="auto"/>
              <w:left w:val="nil"/>
              <w:bottom w:val="single" w:sz="8" w:space="0" w:color="707070"/>
            </w:tcBorders>
            <w:vAlign w:val="center"/>
          </w:tcPr>
          <w:p w14:paraId="11EF95D7" w14:textId="77777777" w:rsidR="00501E46" w:rsidRPr="00FF48CA" w:rsidRDefault="00501E46" w:rsidP="00FA413D">
            <w:pPr>
              <w:keepLines/>
              <w:spacing w:line="240" w:lineRule="auto"/>
              <w:jc w:val="right"/>
              <w:rPr>
                <w:rFonts w:ascii="Calibri" w:eastAsia="Times New Roman" w:hAnsi="Calibri" w:cs="Calibri"/>
                <w:sz w:val="14"/>
                <w:szCs w:val="14"/>
              </w:rPr>
            </w:pPr>
            <w:r>
              <w:rPr>
                <w:rFonts w:ascii="Calibri" w:hAnsi="Calibri"/>
                <w:sz w:val="14"/>
              </w:rPr>
              <w:t>Pro-forma comparison</w:t>
            </w:r>
            <w:r>
              <w:rPr>
                <w:rFonts w:ascii="Calibri" w:hAnsi="Calibri"/>
                <w:sz w:val="14"/>
                <w:vertAlign w:val="superscript"/>
              </w:rPr>
              <w:t>3</w:t>
            </w:r>
            <w:r>
              <w:rPr>
                <w:rFonts w:ascii="Calibri" w:hAnsi="Calibri"/>
                <w:sz w:val="14"/>
              </w:rPr>
              <w:t xml:space="preserve"> in %</w:t>
            </w:r>
          </w:p>
        </w:tc>
      </w:tr>
      <w:tr w:rsidR="00FA413D" w:rsidRPr="00FF48CA" w14:paraId="617D7B6D" w14:textId="77777777" w:rsidTr="005602C9">
        <w:trPr>
          <w:cantSplit/>
          <w:trHeight w:val="300"/>
        </w:trPr>
        <w:tc>
          <w:tcPr>
            <w:tcW w:w="1587" w:type="dxa"/>
            <w:tcBorders>
              <w:top w:val="nil"/>
              <w:left w:val="nil"/>
              <w:bottom w:val="nil"/>
              <w:right w:val="nil"/>
            </w:tcBorders>
            <w:vAlign w:val="center"/>
            <w:hideMark/>
          </w:tcPr>
          <w:p w14:paraId="03452397" w14:textId="77777777" w:rsidR="00501E46" w:rsidRPr="00FF48CA" w:rsidRDefault="00501E46" w:rsidP="00FA413D">
            <w:pPr>
              <w:keepLines/>
              <w:spacing w:line="240" w:lineRule="auto"/>
              <w:rPr>
                <w:rFonts w:ascii="Calibri" w:eastAsia="Times New Roman" w:hAnsi="Calibri" w:cs="Calibri"/>
                <w:sz w:val="14"/>
                <w:szCs w:val="14"/>
              </w:rPr>
            </w:pPr>
            <w:r>
              <w:rPr>
                <w:rFonts w:ascii="Calibri" w:hAnsi="Calibri"/>
                <w:sz w:val="14"/>
              </w:rPr>
              <w:t>Revenue</w:t>
            </w:r>
          </w:p>
        </w:tc>
        <w:tc>
          <w:tcPr>
            <w:tcW w:w="213" w:type="dxa"/>
            <w:tcBorders>
              <w:top w:val="nil"/>
              <w:left w:val="nil"/>
              <w:bottom w:val="nil"/>
              <w:right w:val="nil"/>
            </w:tcBorders>
            <w:noWrap/>
            <w:vAlign w:val="bottom"/>
            <w:hideMark/>
          </w:tcPr>
          <w:p w14:paraId="0E72FB26" w14:textId="77777777" w:rsidR="00501E46" w:rsidRPr="00FF48CA" w:rsidRDefault="00501E46" w:rsidP="00FA413D">
            <w:pPr>
              <w:keepLines/>
              <w:spacing w:line="240" w:lineRule="auto"/>
              <w:rPr>
                <w:rFonts w:ascii="Calibri" w:eastAsia="Times New Roman" w:hAnsi="Calibri" w:cs="Calibri"/>
                <w:sz w:val="14"/>
                <w:szCs w:val="14"/>
                <w:lang w:eastAsia="de-DE"/>
              </w:rPr>
            </w:pPr>
          </w:p>
        </w:tc>
        <w:tc>
          <w:tcPr>
            <w:tcW w:w="850" w:type="dxa"/>
            <w:tcBorders>
              <w:top w:val="nil"/>
              <w:left w:val="nil"/>
              <w:bottom w:val="single" w:sz="8" w:space="0" w:color="707070"/>
              <w:right w:val="nil"/>
            </w:tcBorders>
            <w:noWrap/>
            <w:vAlign w:val="center"/>
            <w:hideMark/>
          </w:tcPr>
          <w:p w14:paraId="6C19A97C" w14:textId="0CBCE9A1" w:rsidR="00501E46" w:rsidRPr="00647DAD" w:rsidRDefault="006636E9" w:rsidP="00FA413D">
            <w:pPr>
              <w:keepLines/>
              <w:spacing w:line="240" w:lineRule="auto"/>
              <w:jc w:val="right"/>
              <w:rPr>
                <w:rFonts w:ascii="Calibri" w:eastAsia="Times New Roman" w:hAnsi="Calibri" w:cs="Calibri"/>
                <w:color w:val="00B050"/>
                <w:sz w:val="14"/>
                <w:szCs w:val="14"/>
              </w:rPr>
            </w:pPr>
            <w:r>
              <w:rPr>
                <w:rFonts w:ascii="Calibri" w:hAnsi="Calibri"/>
                <w:color w:val="00B050"/>
                <w:sz w:val="14"/>
              </w:rPr>
              <w:t>23,492</w:t>
            </w:r>
          </w:p>
        </w:tc>
        <w:tc>
          <w:tcPr>
            <w:tcW w:w="215" w:type="dxa"/>
            <w:tcBorders>
              <w:top w:val="nil"/>
              <w:left w:val="nil"/>
              <w:bottom w:val="nil"/>
              <w:right w:val="nil"/>
            </w:tcBorders>
            <w:noWrap/>
            <w:vAlign w:val="bottom"/>
            <w:hideMark/>
          </w:tcPr>
          <w:p w14:paraId="2F87F23C" w14:textId="77777777" w:rsidR="00501E46" w:rsidRPr="00647DAD" w:rsidRDefault="00501E46" w:rsidP="00FA413D">
            <w:pPr>
              <w:keepLines/>
              <w:spacing w:line="240" w:lineRule="auto"/>
              <w:jc w:val="right"/>
              <w:rPr>
                <w:rFonts w:ascii="Calibri" w:eastAsia="Times New Roman" w:hAnsi="Calibri" w:cs="Calibri"/>
                <w:color w:val="00B050"/>
                <w:sz w:val="14"/>
                <w:szCs w:val="14"/>
                <w:lang w:eastAsia="de-DE"/>
              </w:rPr>
            </w:pPr>
          </w:p>
        </w:tc>
        <w:tc>
          <w:tcPr>
            <w:tcW w:w="850" w:type="dxa"/>
            <w:tcBorders>
              <w:top w:val="single" w:sz="8" w:space="0" w:color="707070"/>
              <w:left w:val="nil"/>
              <w:bottom w:val="single" w:sz="8" w:space="0" w:color="707070"/>
              <w:right w:val="nil"/>
            </w:tcBorders>
          </w:tcPr>
          <w:p w14:paraId="0D64A8C3" w14:textId="04D61D0E" w:rsidR="00501E46" w:rsidRPr="00647DAD" w:rsidRDefault="006636E9" w:rsidP="00FA413D">
            <w:pPr>
              <w:keepLines/>
              <w:spacing w:line="240" w:lineRule="auto"/>
              <w:jc w:val="right"/>
              <w:rPr>
                <w:rFonts w:ascii="Calibri" w:eastAsia="Times New Roman" w:hAnsi="Calibri" w:cs="Calibri"/>
                <w:sz w:val="14"/>
                <w:szCs w:val="14"/>
              </w:rPr>
            </w:pPr>
            <w:r>
              <w:rPr>
                <w:rFonts w:ascii="Calibri" w:hAnsi="Calibri"/>
                <w:sz w:val="14"/>
              </w:rPr>
              <w:t>24,313</w:t>
            </w:r>
          </w:p>
        </w:tc>
        <w:tc>
          <w:tcPr>
            <w:tcW w:w="215" w:type="dxa"/>
            <w:tcBorders>
              <w:top w:val="nil"/>
              <w:left w:val="nil"/>
              <w:bottom w:val="nil"/>
              <w:right w:val="nil"/>
            </w:tcBorders>
            <w:noWrap/>
            <w:vAlign w:val="bottom"/>
            <w:hideMark/>
          </w:tcPr>
          <w:p w14:paraId="69AB06D2" w14:textId="77777777" w:rsidR="00501E46" w:rsidRPr="00647DAD" w:rsidRDefault="00501E46" w:rsidP="00FA413D">
            <w:pPr>
              <w:keepLines/>
              <w:spacing w:line="240" w:lineRule="auto"/>
              <w:jc w:val="right"/>
              <w:rPr>
                <w:rFonts w:ascii="Calibri" w:eastAsia="Times New Roman" w:hAnsi="Calibri" w:cs="Calibri"/>
                <w:sz w:val="14"/>
                <w:szCs w:val="14"/>
                <w:lang w:eastAsia="de-DE"/>
              </w:rPr>
            </w:pPr>
          </w:p>
        </w:tc>
        <w:tc>
          <w:tcPr>
            <w:tcW w:w="1882" w:type="dxa"/>
            <w:tcBorders>
              <w:top w:val="single" w:sz="8" w:space="0" w:color="707070"/>
              <w:left w:val="nil"/>
              <w:bottom w:val="single" w:sz="8" w:space="0" w:color="707070"/>
            </w:tcBorders>
            <w:noWrap/>
            <w:vAlign w:val="center"/>
            <w:hideMark/>
          </w:tcPr>
          <w:p w14:paraId="61319927" w14:textId="60B6446D" w:rsidR="00501E46" w:rsidRPr="00647DAD" w:rsidRDefault="00501E46" w:rsidP="00FA413D">
            <w:pPr>
              <w:keepLines/>
              <w:spacing w:line="240" w:lineRule="auto"/>
              <w:jc w:val="right"/>
              <w:rPr>
                <w:rFonts w:ascii="Calibri" w:eastAsia="Times New Roman" w:hAnsi="Calibri" w:cs="Calibri"/>
                <w:sz w:val="14"/>
                <w:szCs w:val="14"/>
              </w:rPr>
            </w:pPr>
            <w:r>
              <w:rPr>
                <w:rFonts w:ascii="Calibri" w:hAnsi="Calibri"/>
                <w:sz w:val="14"/>
              </w:rPr>
              <w:t>-3.4</w:t>
            </w:r>
          </w:p>
        </w:tc>
      </w:tr>
      <w:tr w:rsidR="00FA413D" w:rsidRPr="00FF48CA" w14:paraId="08FAB6C7" w14:textId="77777777" w:rsidTr="005602C9">
        <w:trPr>
          <w:cantSplit/>
          <w:trHeight w:val="300"/>
        </w:trPr>
        <w:tc>
          <w:tcPr>
            <w:tcW w:w="1587" w:type="dxa"/>
            <w:tcBorders>
              <w:top w:val="single" w:sz="8" w:space="0" w:color="707070"/>
              <w:left w:val="nil"/>
              <w:bottom w:val="single" w:sz="8" w:space="0" w:color="707070"/>
              <w:right w:val="nil"/>
            </w:tcBorders>
            <w:vAlign w:val="center"/>
            <w:hideMark/>
          </w:tcPr>
          <w:p w14:paraId="25F501A8" w14:textId="77777777" w:rsidR="00501E46" w:rsidRPr="00FF48CA" w:rsidRDefault="00501E46" w:rsidP="00FA413D">
            <w:pPr>
              <w:keepLines/>
              <w:spacing w:line="240" w:lineRule="auto"/>
              <w:rPr>
                <w:rFonts w:ascii="Calibri" w:eastAsia="Times New Roman" w:hAnsi="Calibri" w:cs="Calibri"/>
                <w:sz w:val="12"/>
                <w:szCs w:val="12"/>
              </w:rPr>
            </w:pPr>
            <w:r>
              <w:rPr>
                <w:rFonts w:ascii="Calibri" w:hAnsi="Calibri"/>
                <w:sz w:val="12"/>
              </w:rPr>
              <w:t>• at constant currency</w:t>
            </w:r>
          </w:p>
        </w:tc>
        <w:tc>
          <w:tcPr>
            <w:tcW w:w="213" w:type="dxa"/>
            <w:tcBorders>
              <w:top w:val="nil"/>
              <w:left w:val="nil"/>
              <w:bottom w:val="nil"/>
              <w:right w:val="nil"/>
            </w:tcBorders>
            <w:noWrap/>
            <w:vAlign w:val="bottom"/>
            <w:hideMark/>
          </w:tcPr>
          <w:p w14:paraId="434D4394" w14:textId="77777777" w:rsidR="00501E46" w:rsidRPr="00FF48CA" w:rsidRDefault="00501E46" w:rsidP="00FA413D">
            <w:pPr>
              <w:keepLines/>
              <w:spacing w:line="240" w:lineRule="auto"/>
              <w:rPr>
                <w:rFonts w:ascii="Calibri" w:eastAsia="Times New Roman" w:hAnsi="Calibri" w:cs="Calibri"/>
                <w:sz w:val="12"/>
                <w:szCs w:val="12"/>
                <w:lang w:eastAsia="de-DE"/>
              </w:rPr>
            </w:pPr>
          </w:p>
        </w:tc>
        <w:tc>
          <w:tcPr>
            <w:tcW w:w="850" w:type="dxa"/>
            <w:tcBorders>
              <w:top w:val="nil"/>
              <w:left w:val="nil"/>
              <w:bottom w:val="single" w:sz="8" w:space="0" w:color="707070"/>
              <w:right w:val="nil"/>
            </w:tcBorders>
            <w:noWrap/>
            <w:vAlign w:val="center"/>
            <w:hideMark/>
          </w:tcPr>
          <w:p w14:paraId="06264B6D" w14:textId="77777777" w:rsidR="00501E46" w:rsidRPr="00647DAD" w:rsidRDefault="00501E46" w:rsidP="00FA413D">
            <w:pPr>
              <w:keepLines/>
              <w:spacing w:line="240" w:lineRule="auto"/>
              <w:rPr>
                <w:rFonts w:ascii="Calibri" w:eastAsia="Times New Roman" w:hAnsi="Calibri" w:cs="Calibri"/>
                <w:color w:val="00B050"/>
                <w:sz w:val="12"/>
                <w:szCs w:val="12"/>
              </w:rPr>
            </w:pPr>
            <w:r>
              <w:rPr>
                <w:rFonts w:ascii="Calibri" w:hAnsi="Calibri"/>
                <w:color w:val="00B050"/>
                <w:sz w:val="12"/>
              </w:rPr>
              <w:t> </w:t>
            </w:r>
          </w:p>
        </w:tc>
        <w:tc>
          <w:tcPr>
            <w:tcW w:w="215" w:type="dxa"/>
            <w:tcBorders>
              <w:top w:val="nil"/>
              <w:left w:val="nil"/>
              <w:bottom w:val="nil"/>
              <w:right w:val="nil"/>
            </w:tcBorders>
            <w:noWrap/>
            <w:vAlign w:val="bottom"/>
            <w:hideMark/>
          </w:tcPr>
          <w:p w14:paraId="06285317" w14:textId="77777777" w:rsidR="00501E46" w:rsidRPr="00647DAD" w:rsidRDefault="00501E46" w:rsidP="00FA413D">
            <w:pPr>
              <w:keepLines/>
              <w:spacing w:line="240" w:lineRule="auto"/>
              <w:rPr>
                <w:rFonts w:ascii="Calibri" w:eastAsia="Times New Roman" w:hAnsi="Calibri" w:cs="Calibri"/>
                <w:color w:val="00B050"/>
                <w:sz w:val="12"/>
                <w:szCs w:val="12"/>
                <w:lang w:eastAsia="de-DE"/>
              </w:rPr>
            </w:pPr>
          </w:p>
        </w:tc>
        <w:tc>
          <w:tcPr>
            <w:tcW w:w="850" w:type="dxa"/>
            <w:tcBorders>
              <w:top w:val="single" w:sz="8" w:space="0" w:color="707070"/>
              <w:left w:val="nil"/>
              <w:bottom w:val="single" w:sz="8" w:space="0" w:color="707070"/>
              <w:right w:val="nil"/>
            </w:tcBorders>
          </w:tcPr>
          <w:p w14:paraId="54085F90" w14:textId="77777777" w:rsidR="00501E46" w:rsidRPr="00647DAD" w:rsidRDefault="00501E46" w:rsidP="00FA413D">
            <w:pPr>
              <w:keepLines/>
              <w:spacing w:line="240" w:lineRule="auto"/>
              <w:jc w:val="right"/>
              <w:rPr>
                <w:rFonts w:ascii="Calibri" w:eastAsia="Times New Roman" w:hAnsi="Calibri" w:cs="Calibri"/>
                <w:sz w:val="12"/>
                <w:szCs w:val="12"/>
                <w:lang w:eastAsia="de-DE"/>
              </w:rPr>
            </w:pPr>
          </w:p>
        </w:tc>
        <w:tc>
          <w:tcPr>
            <w:tcW w:w="215" w:type="dxa"/>
            <w:tcBorders>
              <w:top w:val="nil"/>
              <w:left w:val="nil"/>
              <w:bottom w:val="nil"/>
              <w:right w:val="nil"/>
            </w:tcBorders>
            <w:noWrap/>
            <w:vAlign w:val="bottom"/>
            <w:hideMark/>
          </w:tcPr>
          <w:p w14:paraId="6046F8B8" w14:textId="77777777" w:rsidR="00501E46" w:rsidRPr="00647DAD" w:rsidRDefault="00501E46" w:rsidP="00FA413D">
            <w:pPr>
              <w:keepLines/>
              <w:spacing w:line="240" w:lineRule="auto"/>
              <w:jc w:val="right"/>
              <w:rPr>
                <w:rFonts w:ascii="Calibri" w:eastAsia="Times New Roman" w:hAnsi="Calibri" w:cs="Calibri"/>
                <w:sz w:val="12"/>
                <w:szCs w:val="12"/>
                <w:lang w:eastAsia="de-DE"/>
              </w:rPr>
            </w:pPr>
          </w:p>
        </w:tc>
        <w:tc>
          <w:tcPr>
            <w:tcW w:w="1882" w:type="dxa"/>
            <w:tcBorders>
              <w:top w:val="nil"/>
              <w:left w:val="nil"/>
              <w:bottom w:val="single" w:sz="8" w:space="0" w:color="707070"/>
              <w:right w:val="nil"/>
            </w:tcBorders>
            <w:noWrap/>
            <w:vAlign w:val="center"/>
            <w:hideMark/>
          </w:tcPr>
          <w:p w14:paraId="1DC089C8" w14:textId="1158AC36" w:rsidR="00501E46" w:rsidRPr="00647DAD" w:rsidRDefault="00501E46" w:rsidP="00FA413D">
            <w:pPr>
              <w:keepLines/>
              <w:spacing w:line="240" w:lineRule="auto"/>
              <w:jc w:val="right"/>
              <w:rPr>
                <w:rFonts w:ascii="Calibri" w:eastAsia="Times New Roman" w:hAnsi="Calibri" w:cs="Calibri"/>
                <w:sz w:val="12"/>
                <w:szCs w:val="12"/>
              </w:rPr>
            </w:pPr>
            <w:r>
              <w:rPr>
                <w:rFonts w:ascii="Calibri" w:hAnsi="Calibri"/>
                <w:sz w:val="12"/>
              </w:rPr>
              <w:t>-0.6</w:t>
            </w:r>
          </w:p>
        </w:tc>
      </w:tr>
      <w:tr w:rsidR="00FA413D" w:rsidRPr="00FF48CA" w14:paraId="5B629978" w14:textId="77777777" w:rsidTr="008C6E0A">
        <w:trPr>
          <w:cantSplit/>
          <w:trHeight w:val="300"/>
        </w:trPr>
        <w:tc>
          <w:tcPr>
            <w:tcW w:w="1587" w:type="dxa"/>
            <w:tcBorders>
              <w:top w:val="nil"/>
              <w:left w:val="nil"/>
              <w:bottom w:val="single" w:sz="8" w:space="0" w:color="707070"/>
              <w:right w:val="nil"/>
            </w:tcBorders>
            <w:vAlign w:val="center"/>
            <w:hideMark/>
          </w:tcPr>
          <w:p w14:paraId="15429589" w14:textId="77777777" w:rsidR="00501E46" w:rsidRPr="00FF48CA" w:rsidRDefault="00501E46" w:rsidP="00FA413D">
            <w:pPr>
              <w:keepLines/>
              <w:spacing w:line="240" w:lineRule="auto"/>
              <w:rPr>
                <w:rFonts w:ascii="Calibri" w:eastAsia="Times New Roman" w:hAnsi="Calibri" w:cs="Calibri"/>
                <w:sz w:val="14"/>
                <w:szCs w:val="14"/>
              </w:rPr>
            </w:pPr>
            <w:r>
              <w:rPr>
                <w:rFonts w:ascii="Calibri" w:hAnsi="Calibri"/>
                <w:sz w:val="14"/>
              </w:rPr>
              <w:t>EBIT before special items</w:t>
            </w:r>
            <w:r>
              <w:rPr>
                <w:rFonts w:ascii="Calibri" w:hAnsi="Calibri"/>
                <w:sz w:val="14"/>
                <w:vertAlign w:val="superscript"/>
              </w:rPr>
              <w:t>1</w:t>
            </w:r>
          </w:p>
        </w:tc>
        <w:tc>
          <w:tcPr>
            <w:tcW w:w="213" w:type="dxa"/>
            <w:tcBorders>
              <w:top w:val="nil"/>
              <w:left w:val="nil"/>
              <w:bottom w:val="nil"/>
              <w:right w:val="nil"/>
            </w:tcBorders>
            <w:noWrap/>
            <w:vAlign w:val="bottom"/>
            <w:hideMark/>
          </w:tcPr>
          <w:p w14:paraId="366F66D0" w14:textId="77777777" w:rsidR="00501E46" w:rsidRPr="00FF48CA" w:rsidRDefault="00501E46" w:rsidP="00FA413D">
            <w:pPr>
              <w:keepLines/>
              <w:spacing w:line="240" w:lineRule="auto"/>
              <w:rPr>
                <w:rFonts w:ascii="Calibri" w:eastAsia="Times New Roman" w:hAnsi="Calibri" w:cs="Calibri"/>
                <w:sz w:val="14"/>
                <w:szCs w:val="14"/>
                <w:lang w:eastAsia="de-DE"/>
              </w:rPr>
            </w:pPr>
          </w:p>
        </w:tc>
        <w:tc>
          <w:tcPr>
            <w:tcW w:w="850" w:type="dxa"/>
            <w:tcBorders>
              <w:top w:val="nil"/>
              <w:left w:val="nil"/>
              <w:bottom w:val="single" w:sz="8" w:space="0" w:color="707070"/>
              <w:right w:val="nil"/>
            </w:tcBorders>
            <w:noWrap/>
            <w:vAlign w:val="center"/>
            <w:hideMark/>
          </w:tcPr>
          <w:p w14:paraId="6AC7FC52" w14:textId="536398D7" w:rsidR="00501E46" w:rsidRPr="00647DAD" w:rsidRDefault="006636E9" w:rsidP="00FA413D">
            <w:pPr>
              <w:keepLines/>
              <w:spacing w:line="240" w:lineRule="auto"/>
              <w:jc w:val="right"/>
              <w:rPr>
                <w:rFonts w:ascii="Calibri" w:eastAsia="Times New Roman" w:hAnsi="Calibri" w:cs="Calibri"/>
                <w:color w:val="00B050"/>
                <w:sz w:val="14"/>
                <w:szCs w:val="14"/>
              </w:rPr>
            </w:pPr>
            <w:r>
              <w:rPr>
                <w:rFonts w:ascii="Calibri" w:hAnsi="Calibri"/>
                <w:color w:val="00B050"/>
                <w:sz w:val="14"/>
              </w:rPr>
              <w:t xml:space="preserve">936 </w:t>
            </w:r>
          </w:p>
        </w:tc>
        <w:tc>
          <w:tcPr>
            <w:tcW w:w="215" w:type="dxa"/>
            <w:tcBorders>
              <w:top w:val="nil"/>
              <w:left w:val="nil"/>
              <w:bottom w:val="nil"/>
              <w:right w:val="nil"/>
            </w:tcBorders>
            <w:noWrap/>
            <w:vAlign w:val="bottom"/>
            <w:hideMark/>
          </w:tcPr>
          <w:p w14:paraId="1527CFED" w14:textId="77777777" w:rsidR="00501E46" w:rsidRPr="00647DAD" w:rsidRDefault="00501E46" w:rsidP="00FA413D">
            <w:pPr>
              <w:keepLines/>
              <w:spacing w:line="240" w:lineRule="auto"/>
              <w:jc w:val="right"/>
              <w:rPr>
                <w:rFonts w:ascii="Calibri" w:eastAsia="Times New Roman" w:hAnsi="Calibri" w:cs="Calibri"/>
                <w:color w:val="00B050"/>
                <w:sz w:val="14"/>
                <w:szCs w:val="14"/>
                <w:lang w:eastAsia="de-DE"/>
              </w:rPr>
            </w:pPr>
          </w:p>
        </w:tc>
        <w:tc>
          <w:tcPr>
            <w:tcW w:w="850" w:type="dxa"/>
            <w:tcBorders>
              <w:top w:val="single" w:sz="8" w:space="0" w:color="707070"/>
              <w:left w:val="nil"/>
              <w:bottom w:val="single" w:sz="8" w:space="0" w:color="707070"/>
              <w:right w:val="nil"/>
            </w:tcBorders>
            <w:vAlign w:val="center"/>
          </w:tcPr>
          <w:p w14:paraId="33606D92" w14:textId="44728BDB" w:rsidR="00501E46" w:rsidRPr="00647DAD" w:rsidRDefault="006636E9" w:rsidP="008C6E0A">
            <w:pPr>
              <w:keepLines/>
              <w:spacing w:line="240" w:lineRule="auto"/>
              <w:jc w:val="right"/>
              <w:rPr>
                <w:rFonts w:ascii="Calibri" w:eastAsia="Times New Roman" w:hAnsi="Calibri" w:cs="Calibri"/>
                <w:sz w:val="14"/>
                <w:szCs w:val="14"/>
              </w:rPr>
            </w:pPr>
            <w:r>
              <w:rPr>
                <w:rFonts w:ascii="Calibri" w:hAnsi="Calibri"/>
                <w:sz w:val="14"/>
              </w:rPr>
              <w:t>842</w:t>
            </w:r>
          </w:p>
        </w:tc>
        <w:tc>
          <w:tcPr>
            <w:tcW w:w="215" w:type="dxa"/>
            <w:tcBorders>
              <w:top w:val="nil"/>
              <w:left w:val="nil"/>
              <w:bottom w:val="nil"/>
              <w:right w:val="nil"/>
            </w:tcBorders>
            <w:noWrap/>
            <w:vAlign w:val="bottom"/>
            <w:hideMark/>
          </w:tcPr>
          <w:p w14:paraId="155855E7" w14:textId="77777777" w:rsidR="00501E46" w:rsidRPr="00647DAD" w:rsidRDefault="00501E46" w:rsidP="00FA413D">
            <w:pPr>
              <w:keepLines/>
              <w:spacing w:line="240" w:lineRule="auto"/>
              <w:jc w:val="right"/>
              <w:rPr>
                <w:rFonts w:ascii="Calibri" w:eastAsia="Times New Roman" w:hAnsi="Calibri" w:cs="Calibri"/>
                <w:sz w:val="14"/>
                <w:szCs w:val="14"/>
                <w:lang w:eastAsia="de-DE"/>
              </w:rPr>
            </w:pPr>
          </w:p>
        </w:tc>
        <w:tc>
          <w:tcPr>
            <w:tcW w:w="1882" w:type="dxa"/>
            <w:tcBorders>
              <w:top w:val="nil"/>
              <w:left w:val="nil"/>
              <w:bottom w:val="single" w:sz="8" w:space="0" w:color="707070"/>
              <w:right w:val="nil"/>
            </w:tcBorders>
            <w:noWrap/>
            <w:vAlign w:val="center"/>
            <w:hideMark/>
          </w:tcPr>
          <w:p w14:paraId="78E44CEA" w14:textId="09B85750" w:rsidR="00501E46" w:rsidRPr="00647DAD" w:rsidRDefault="006636E9" w:rsidP="00FA413D">
            <w:pPr>
              <w:keepLines/>
              <w:spacing w:line="240" w:lineRule="auto"/>
              <w:jc w:val="right"/>
              <w:rPr>
                <w:rFonts w:ascii="Calibri" w:eastAsia="Times New Roman" w:hAnsi="Calibri" w:cs="Calibri"/>
                <w:sz w:val="14"/>
                <w:szCs w:val="14"/>
              </w:rPr>
            </w:pPr>
            <w:r>
              <w:rPr>
                <w:rFonts w:ascii="Calibri" w:hAnsi="Calibri"/>
                <w:sz w:val="14"/>
              </w:rPr>
              <w:t>11.1</w:t>
            </w:r>
          </w:p>
        </w:tc>
      </w:tr>
      <w:tr w:rsidR="00FA413D" w:rsidRPr="00FF48CA" w14:paraId="60538E41" w14:textId="77777777" w:rsidTr="005602C9">
        <w:trPr>
          <w:cantSplit/>
          <w:trHeight w:val="300"/>
        </w:trPr>
        <w:tc>
          <w:tcPr>
            <w:tcW w:w="1587" w:type="dxa"/>
            <w:tcBorders>
              <w:top w:val="nil"/>
              <w:left w:val="nil"/>
              <w:bottom w:val="single" w:sz="8" w:space="0" w:color="707070"/>
              <w:right w:val="nil"/>
            </w:tcBorders>
            <w:vAlign w:val="center"/>
            <w:hideMark/>
          </w:tcPr>
          <w:p w14:paraId="70A6725F" w14:textId="77777777" w:rsidR="00501E46" w:rsidRPr="00FF48CA" w:rsidRDefault="00501E46" w:rsidP="00FA413D">
            <w:pPr>
              <w:keepLines/>
              <w:spacing w:line="240" w:lineRule="auto"/>
              <w:rPr>
                <w:rFonts w:ascii="Calibri" w:eastAsia="Times New Roman" w:hAnsi="Calibri" w:cs="Calibri"/>
                <w:sz w:val="12"/>
                <w:szCs w:val="12"/>
              </w:rPr>
            </w:pPr>
            <w:r>
              <w:rPr>
                <w:rFonts w:ascii="Calibri" w:hAnsi="Calibri"/>
                <w:sz w:val="12"/>
              </w:rPr>
              <w:t>• in % of revenue</w:t>
            </w:r>
          </w:p>
        </w:tc>
        <w:tc>
          <w:tcPr>
            <w:tcW w:w="213" w:type="dxa"/>
            <w:tcBorders>
              <w:top w:val="nil"/>
              <w:left w:val="nil"/>
              <w:bottom w:val="nil"/>
              <w:right w:val="nil"/>
            </w:tcBorders>
            <w:noWrap/>
            <w:vAlign w:val="bottom"/>
            <w:hideMark/>
          </w:tcPr>
          <w:p w14:paraId="3C7EA84A" w14:textId="77777777" w:rsidR="00501E46" w:rsidRPr="00FF48CA" w:rsidRDefault="00501E46" w:rsidP="00FA413D">
            <w:pPr>
              <w:keepLines/>
              <w:spacing w:line="240" w:lineRule="auto"/>
              <w:rPr>
                <w:rFonts w:ascii="Calibri" w:eastAsia="Times New Roman" w:hAnsi="Calibri" w:cs="Calibri"/>
                <w:sz w:val="12"/>
                <w:szCs w:val="12"/>
                <w:lang w:eastAsia="de-DE"/>
              </w:rPr>
            </w:pPr>
          </w:p>
        </w:tc>
        <w:tc>
          <w:tcPr>
            <w:tcW w:w="850" w:type="dxa"/>
            <w:tcBorders>
              <w:top w:val="nil"/>
              <w:left w:val="nil"/>
              <w:bottom w:val="single" w:sz="8" w:space="0" w:color="707070"/>
              <w:right w:val="nil"/>
            </w:tcBorders>
            <w:noWrap/>
            <w:vAlign w:val="center"/>
            <w:hideMark/>
          </w:tcPr>
          <w:p w14:paraId="620AE96F" w14:textId="7CBB50B1" w:rsidR="00501E46" w:rsidRPr="00647DAD" w:rsidRDefault="006636E9" w:rsidP="00FA413D">
            <w:pPr>
              <w:keepLines/>
              <w:spacing w:line="240" w:lineRule="auto"/>
              <w:jc w:val="right"/>
              <w:rPr>
                <w:rFonts w:ascii="Calibri" w:eastAsia="Times New Roman" w:hAnsi="Calibri" w:cs="Calibri"/>
                <w:color w:val="00B050"/>
                <w:sz w:val="12"/>
                <w:szCs w:val="12"/>
              </w:rPr>
            </w:pPr>
            <w:r>
              <w:rPr>
                <w:rFonts w:ascii="Calibri" w:hAnsi="Calibri"/>
                <w:color w:val="00B050"/>
                <w:sz w:val="12"/>
              </w:rPr>
              <w:t>4.0</w:t>
            </w:r>
          </w:p>
        </w:tc>
        <w:tc>
          <w:tcPr>
            <w:tcW w:w="215" w:type="dxa"/>
            <w:tcBorders>
              <w:top w:val="nil"/>
              <w:left w:val="nil"/>
              <w:bottom w:val="nil"/>
              <w:right w:val="nil"/>
            </w:tcBorders>
            <w:noWrap/>
            <w:vAlign w:val="bottom"/>
            <w:hideMark/>
          </w:tcPr>
          <w:p w14:paraId="57AA3D43" w14:textId="77777777" w:rsidR="00501E46" w:rsidRPr="00647DAD" w:rsidRDefault="00501E46" w:rsidP="00FA413D">
            <w:pPr>
              <w:keepLines/>
              <w:spacing w:line="240" w:lineRule="auto"/>
              <w:jc w:val="right"/>
              <w:rPr>
                <w:rFonts w:ascii="Calibri" w:eastAsia="Times New Roman" w:hAnsi="Calibri" w:cs="Calibri"/>
                <w:color w:val="00B050"/>
                <w:sz w:val="12"/>
                <w:szCs w:val="12"/>
                <w:lang w:eastAsia="de-DE"/>
              </w:rPr>
            </w:pPr>
          </w:p>
        </w:tc>
        <w:tc>
          <w:tcPr>
            <w:tcW w:w="850" w:type="dxa"/>
            <w:tcBorders>
              <w:top w:val="single" w:sz="8" w:space="0" w:color="707070"/>
              <w:left w:val="nil"/>
              <w:bottom w:val="single" w:sz="8" w:space="0" w:color="707070"/>
              <w:right w:val="nil"/>
            </w:tcBorders>
          </w:tcPr>
          <w:p w14:paraId="38FD096F" w14:textId="0CED017A" w:rsidR="00501E46" w:rsidRPr="00647DAD" w:rsidRDefault="006636E9" w:rsidP="00FA413D">
            <w:pPr>
              <w:keepLines/>
              <w:spacing w:line="240" w:lineRule="auto"/>
              <w:jc w:val="right"/>
              <w:rPr>
                <w:rFonts w:ascii="Calibri" w:eastAsia="Times New Roman" w:hAnsi="Calibri" w:cs="Calibri"/>
                <w:sz w:val="12"/>
                <w:szCs w:val="12"/>
              </w:rPr>
            </w:pPr>
            <w:r>
              <w:rPr>
                <w:rFonts w:ascii="Calibri" w:hAnsi="Calibri"/>
                <w:sz w:val="12"/>
              </w:rPr>
              <w:t>3.5</w:t>
            </w:r>
          </w:p>
        </w:tc>
        <w:tc>
          <w:tcPr>
            <w:tcW w:w="215" w:type="dxa"/>
            <w:tcBorders>
              <w:top w:val="nil"/>
              <w:left w:val="nil"/>
              <w:bottom w:val="nil"/>
              <w:right w:val="nil"/>
            </w:tcBorders>
            <w:noWrap/>
            <w:vAlign w:val="bottom"/>
            <w:hideMark/>
          </w:tcPr>
          <w:p w14:paraId="5E5FB5D9" w14:textId="77777777" w:rsidR="00501E46" w:rsidRPr="00647DAD" w:rsidRDefault="00501E46" w:rsidP="00FA413D">
            <w:pPr>
              <w:keepLines/>
              <w:spacing w:line="240" w:lineRule="auto"/>
              <w:jc w:val="right"/>
              <w:rPr>
                <w:rFonts w:ascii="Calibri" w:eastAsia="Times New Roman" w:hAnsi="Calibri" w:cs="Calibri"/>
                <w:sz w:val="12"/>
                <w:szCs w:val="12"/>
                <w:lang w:eastAsia="de-DE"/>
              </w:rPr>
            </w:pPr>
          </w:p>
        </w:tc>
        <w:tc>
          <w:tcPr>
            <w:tcW w:w="1882" w:type="dxa"/>
            <w:tcBorders>
              <w:top w:val="nil"/>
              <w:left w:val="nil"/>
              <w:bottom w:val="single" w:sz="8" w:space="0" w:color="707070"/>
              <w:right w:val="nil"/>
            </w:tcBorders>
            <w:noWrap/>
            <w:vAlign w:val="center"/>
            <w:hideMark/>
          </w:tcPr>
          <w:p w14:paraId="18D02D76" w14:textId="77777777" w:rsidR="00501E46" w:rsidRPr="00647DAD" w:rsidRDefault="00501E46" w:rsidP="00FA413D">
            <w:pPr>
              <w:keepLines/>
              <w:spacing w:line="240" w:lineRule="auto"/>
              <w:jc w:val="right"/>
              <w:rPr>
                <w:rFonts w:ascii="Calibri" w:eastAsia="Times New Roman" w:hAnsi="Calibri" w:cs="Calibri"/>
                <w:sz w:val="12"/>
                <w:szCs w:val="12"/>
              </w:rPr>
            </w:pPr>
            <w:r>
              <w:rPr>
                <w:rFonts w:ascii="Calibri" w:hAnsi="Calibri"/>
                <w:sz w:val="12"/>
              </w:rPr>
              <w:t>-</w:t>
            </w:r>
          </w:p>
        </w:tc>
      </w:tr>
      <w:tr w:rsidR="00FA413D" w:rsidRPr="009657A6" w14:paraId="3A703876" w14:textId="77777777" w:rsidTr="00560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1587" w:type="dxa"/>
            <w:tcBorders>
              <w:top w:val="single" w:sz="4" w:space="0" w:color="auto"/>
              <w:left w:val="nil"/>
              <w:bottom w:val="single" w:sz="4" w:space="0" w:color="auto"/>
              <w:right w:val="nil"/>
            </w:tcBorders>
            <w:vAlign w:val="center"/>
          </w:tcPr>
          <w:p w14:paraId="00854A9B" w14:textId="77777777" w:rsidR="00501E46" w:rsidRDefault="00501E46" w:rsidP="00FA413D">
            <w:pPr>
              <w:keepLines/>
              <w:spacing w:line="240" w:lineRule="auto"/>
              <w:rPr>
                <w:rFonts w:ascii="Calibri" w:eastAsia="Times New Roman" w:hAnsi="Calibri" w:cs="Calibri"/>
                <w:sz w:val="14"/>
                <w:szCs w:val="14"/>
              </w:rPr>
            </w:pPr>
            <w:r>
              <w:rPr>
                <w:rFonts w:ascii="Calibri" w:hAnsi="Calibri"/>
                <w:sz w:val="14"/>
              </w:rPr>
              <w:t>Free cash flow</w:t>
            </w:r>
            <w:r>
              <w:rPr>
                <w:rFonts w:ascii="Calibri" w:hAnsi="Calibri"/>
                <w:sz w:val="14"/>
                <w:vertAlign w:val="superscript"/>
              </w:rPr>
              <w:t>2</w:t>
            </w:r>
            <w:r>
              <w:rPr>
                <w:rFonts w:ascii="Calibri" w:hAnsi="Calibri"/>
                <w:sz w:val="14"/>
              </w:rPr>
              <w:t xml:space="preserve"> </w:t>
            </w:r>
          </w:p>
        </w:tc>
        <w:tc>
          <w:tcPr>
            <w:tcW w:w="213" w:type="dxa"/>
            <w:tcBorders>
              <w:top w:val="nil"/>
              <w:left w:val="nil"/>
              <w:bottom w:val="nil"/>
              <w:right w:val="nil"/>
            </w:tcBorders>
            <w:noWrap/>
            <w:vAlign w:val="center"/>
          </w:tcPr>
          <w:p w14:paraId="148BBA82" w14:textId="77777777" w:rsidR="00501E46" w:rsidRDefault="00501E46" w:rsidP="00FA413D">
            <w:pPr>
              <w:keepLines/>
              <w:spacing w:line="240" w:lineRule="auto"/>
              <w:rPr>
                <w:rFonts w:ascii="Calibri" w:eastAsia="Times New Roman" w:hAnsi="Calibri" w:cs="Calibri"/>
                <w:sz w:val="14"/>
                <w:szCs w:val="14"/>
                <w:lang w:eastAsia="de-DE"/>
              </w:rPr>
            </w:pPr>
          </w:p>
        </w:tc>
        <w:tc>
          <w:tcPr>
            <w:tcW w:w="850" w:type="dxa"/>
            <w:tcBorders>
              <w:top w:val="single" w:sz="4" w:space="0" w:color="auto"/>
              <w:left w:val="nil"/>
              <w:bottom w:val="single" w:sz="4" w:space="0" w:color="auto"/>
              <w:right w:val="nil"/>
            </w:tcBorders>
            <w:noWrap/>
            <w:vAlign w:val="center"/>
          </w:tcPr>
          <w:p w14:paraId="4F7EC86C" w14:textId="53FA10EA" w:rsidR="00501E46" w:rsidRPr="00647DAD" w:rsidRDefault="00CD57A1" w:rsidP="00FA413D">
            <w:pPr>
              <w:keepLines/>
              <w:spacing w:line="240" w:lineRule="auto"/>
              <w:jc w:val="right"/>
              <w:rPr>
                <w:rFonts w:ascii="Calibri" w:eastAsia="Times New Roman" w:hAnsi="Calibri" w:cs="Calibri"/>
                <w:color w:val="00B050"/>
                <w:sz w:val="14"/>
                <w:szCs w:val="14"/>
              </w:rPr>
            </w:pPr>
            <w:r>
              <w:rPr>
                <w:rFonts w:ascii="Calibri" w:hAnsi="Calibri"/>
                <w:color w:val="00B050"/>
                <w:sz w:val="14"/>
              </w:rPr>
              <w:t>266</w:t>
            </w:r>
          </w:p>
        </w:tc>
        <w:tc>
          <w:tcPr>
            <w:tcW w:w="215" w:type="dxa"/>
            <w:tcBorders>
              <w:top w:val="nil"/>
              <w:left w:val="nil"/>
              <w:bottom w:val="nil"/>
              <w:right w:val="nil"/>
            </w:tcBorders>
            <w:noWrap/>
            <w:vAlign w:val="center"/>
          </w:tcPr>
          <w:p w14:paraId="4DDBA93E" w14:textId="77777777" w:rsidR="00501E46" w:rsidRPr="00647DAD" w:rsidRDefault="00501E46" w:rsidP="00FA413D">
            <w:pPr>
              <w:keepLines/>
              <w:spacing w:line="240" w:lineRule="auto"/>
              <w:jc w:val="right"/>
              <w:rPr>
                <w:rFonts w:ascii="Calibri" w:eastAsia="Times New Roman" w:hAnsi="Calibri" w:cs="Calibri"/>
                <w:color w:val="00B050"/>
                <w:sz w:val="14"/>
                <w:szCs w:val="14"/>
                <w:lang w:eastAsia="de-DE"/>
              </w:rPr>
            </w:pPr>
          </w:p>
        </w:tc>
        <w:tc>
          <w:tcPr>
            <w:tcW w:w="850" w:type="dxa"/>
            <w:tcBorders>
              <w:top w:val="single" w:sz="8" w:space="0" w:color="707070"/>
              <w:left w:val="nil"/>
              <w:bottom w:val="single" w:sz="4" w:space="0" w:color="auto"/>
              <w:right w:val="nil"/>
            </w:tcBorders>
          </w:tcPr>
          <w:p w14:paraId="7EF8951F" w14:textId="231C04BB" w:rsidR="00501E46" w:rsidRPr="00647DAD" w:rsidRDefault="00501E46" w:rsidP="00FA413D">
            <w:pPr>
              <w:keepLines/>
              <w:spacing w:line="240" w:lineRule="auto"/>
              <w:jc w:val="right"/>
              <w:rPr>
                <w:rFonts w:ascii="Calibri" w:eastAsia="Times New Roman" w:hAnsi="Calibri" w:cs="Calibri"/>
                <w:sz w:val="14"/>
                <w:szCs w:val="14"/>
              </w:rPr>
            </w:pPr>
            <w:r>
              <w:rPr>
                <w:rFonts w:ascii="Calibri" w:hAnsi="Calibri"/>
                <w:sz w:val="14"/>
              </w:rPr>
              <w:t>-694</w:t>
            </w:r>
            <w:r>
              <w:rPr>
                <w:rFonts w:ascii="Calibri" w:hAnsi="Calibri"/>
                <w:sz w:val="14"/>
                <w:vertAlign w:val="superscript"/>
              </w:rPr>
              <w:t>4</w:t>
            </w:r>
          </w:p>
        </w:tc>
        <w:tc>
          <w:tcPr>
            <w:tcW w:w="215" w:type="dxa"/>
            <w:tcBorders>
              <w:top w:val="nil"/>
              <w:left w:val="nil"/>
              <w:bottom w:val="nil"/>
              <w:right w:val="nil"/>
            </w:tcBorders>
            <w:noWrap/>
            <w:vAlign w:val="center"/>
          </w:tcPr>
          <w:p w14:paraId="217DD228" w14:textId="77777777" w:rsidR="00501E46" w:rsidRPr="00647DAD" w:rsidRDefault="00501E46" w:rsidP="00FA413D">
            <w:pPr>
              <w:keepLines/>
              <w:spacing w:line="240" w:lineRule="auto"/>
              <w:jc w:val="right"/>
              <w:rPr>
                <w:rFonts w:ascii="Calibri" w:eastAsia="Times New Roman" w:hAnsi="Calibri" w:cs="Calibri"/>
                <w:sz w:val="14"/>
                <w:szCs w:val="14"/>
                <w:lang w:eastAsia="de-DE"/>
              </w:rPr>
            </w:pPr>
          </w:p>
        </w:tc>
        <w:tc>
          <w:tcPr>
            <w:tcW w:w="1882" w:type="dxa"/>
            <w:tcBorders>
              <w:top w:val="single" w:sz="4" w:space="0" w:color="auto"/>
              <w:left w:val="nil"/>
              <w:bottom w:val="single" w:sz="4" w:space="0" w:color="auto"/>
              <w:right w:val="nil"/>
            </w:tcBorders>
            <w:noWrap/>
            <w:vAlign w:val="center"/>
          </w:tcPr>
          <w:p w14:paraId="72F400CD" w14:textId="5D09F16D" w:rsidR="00501E46" w:rsidRPr="00647DAD" w:rsidRDefault="00501E46" w:rsidP="00FA413D">
            <w:pPr>
              <w:keepLines/>
              <w:spacing w:line="240" w:lineRule="auto"/>
              <w:jc w:val="right"/>
              <w:rPr>
                <w:rFonts w:ascii="Calibri" w:eastAsia="Times New Roman" w:hAnsi="Calibri" w:cs="Calibri"/>
                <w:sz w:val="14"/>
                <w:szCs w:val="14"/>
              </w:rPr>
            </w:pPr>
            <w:r>
              <w:rPr>
                <w:rFonts w:ascii="Calibri" w:hAnsi="Calibri"/>
                <w:sz w:val="14"/>
              </w:rPr>
              <w:t>-</w:t>
            </w:r>
            <w:r w:rsidR="00D80708">
              <w:rPr>
                <w:rFonts w:ascii="Calibri" w:hAnsi="Calibri"/>
                <w:sz w:val="14"/>
              </w:rPr>
              <w:t xml:space="preserve">               </w:t>
            </w:r>
            <w:r>
              <w:rPr>
                <w:rFonts w:ascii="Calibri" w:hAnsi="Calibri"/>
                <w:sz w:val="14"/>
              </w:rPr>
              <w:t xml:space="preserve"> </w:t>
            </w:r>
          </w:p>
        </w:tc>
      </w:tr>
      <w:tr w:rsidR="00FA413D" w:rsidRPr="00510812" w14:paraId="2379ACFD" w14:textId="77777777" w:rsidTr="005602C9">
        <w:trPr>
          <w:cantSplit/>
          <w:trHeight w:val="300"/>
        </w:trPr>
        <w:tc>
          <w:tcPr>
            <w:tcW w:w="1587" w:type="dxa"/>
            <w:tcBorders>
              <w:top w:val="nil"/>
              <w:left w:val="nil"/>
              <w:bottom w:val="single" w:sz="8" w:space="0" w:color="707070"/>
              <w:right w:val="nil"/>
            </w:tcBorders>
            <w:vAlign w:val="center"/>
            <w:hideMark/>
          </w:tcPr>
          <w:p w14:paraId="7E32E533" w14:textId="77777777" w:rsidR="00501E46" w:rsidRPr="00FF48CA" w:rsidRDefault="00501E46" w:rsidP="00FA413D">
            <w:pPr>
              <w:keepLines/>
              <w:spacing w:line="240" w:lineRule="auto"/>
              <w:rPr>
                <w:rFonts w:ascii="Calibri" w:eastAsia="Times New Roman" w:hAnsi="Calibri" w:cs="Calibri"/>
                <w:sz w:val="14"/>
                <w:szCs w:val="14"/>
              </w:rPr>
            </w:pPr>
            <w:r>
              <w:rPr>
                <w:rFonts w:ascii="Calibri" w:hAnsi="Calibri"/>
                <w:sz w:val="14"/>
              </w:rPr>
              <w:t> </w:t>
            </w:r>
          </w:p>
        </w:tc>
        <w:tc>
          <w:tcPr>
            <w:tcW w:w="213" w:type="dxa"/>
            <w:tcBorders>
              <w:top w:val="nil"/>
              <w:left w:val="nil"/>
              <w:bottom w:val="nil"/>
              <w:right w:val="nil"/>
            </w:tcBorders>
            <w:noWrap/>
            <w:vAlign w:val="center"/>
            <w:hideMark/>
          </w:tcPr>
          <w:p w14:paraId="018FC9AC" w14:textId="77777777" w:rsidR="00501E46" w:rsidRPr="00FF48CA" w:rsidRDefault="00501E46" w:rsidP="00FA413D">
            <w:pPr>
              <w:keepLines/>
              <w:spacing w:line="240" w:lineRule="auto"/>
              <w:rPr>
                <w:rFonts w:ascii="Calibri" w:eastAsia="Times New Roman" w:hAnsi="Calibri" w:cs="Calibri"/>
                <w:sz w:val="14"/>
                <w:szCs w:val="14"/>
                <w:lang w:eastAsia="de-DE"/>
              </w:rPr>
            </w:pPr>
          </w:p>
        </w:tc>
        <w:tc>
          <w:tcPr>
            <w:tcW w:w="850" w:type="dxa"/>
            <w:tcBorders>
              <w:top w:val="nil"/>
              <w:left w:val="nil"/>
              <w:bottom w:val="single" w:sz="8" w:space="0" w:color="707070"/>
              <w:right w:val="nil"/>
            </w:tcBorders>
            <w:noWrap/>
            <w:vAlign w:val="center"/>
            <w:hideMark/>
          </w:tcPr>
          <w:p w14:paraId="04386D95" w14:textId="4B3106D7" w:rsidR="00501E46" w:rsidRPr="00FF48CA" w:rsidRDefault="00501E46" w:rsidP="00FA413D">
            <w:pPr>
              <w:keepLines/>
              <w:spacing w:line="240" w:lineRule="auto"/>
              <w:jc w:val="right"/>
              <w:rPr>
                <w:rFonts w:ascii="Calibri" w:eastAsia="Times New Roman" w:hAnsi="Calibri" w:cs="Calibri"/>
                <w:color w:val="00B050"/>
                <w:sz w:val="14"/>
                <w:szCs w:val="14"/>
              </w:rPr>
            </w:pPr>
            <w:r>
              <w:rPr>
                <w:rFonts w:ascii="Calibri" w:hAnsi="Calibri"/>
                <w:color w:val="00B050"/>
                <w:sz w:val="14"/>
              </w:rPr>
              <w:t>12/31/2025</w:t>
            </w:r>
          </w:p>
        </w:tc>
        <w:tc>
          <w:tcPr>
            <w:tcW w:w="215" w:type="dxa"/>
            <w:tcBorders>
              <w:top w:val="nil"/>
              <w:left w:val="nil"/>
              <w:bottom w:val="nil"/>
              <w:right w:val="nil"/>
            </w:tcBorders>
            <w:noWrap/>
            <w:vAlign w:val="center"/>
            <w:hideMark/>
          </w:tcPr>
          <w:p w14:paraId="03D0930C" w14:textId="77777777" w:rsidR="00501E46" w:rsidRPr="00FF48CA" w:rsidRDefault="00501E46" w:rsidP="00FA413D">
            <w:pPr>
              <w:keepLines/>
              <w:spacing w:line="240" w:lineRule="auto"/>
              <w:jc w:val="right"/>
              <w:rPr>
                <w:rFonts w:ascii="Calibri" w:eastAsia="Times New Roman" w:hAnsi="Calibri" w:cs="Calibri"/>
                <w:color w:val="00B050"/>
                <w:sz w:val="14"/>
                <w:szCs w:val="14"/>
                <w:lang w:eastAsia="de-DE"/>
              </w:rPr>
            </w:pPr>
          </w:p>
        </w:tc>
        <w:tc>
          <w:tcPr>
            <w:tcW w:w="850" w:type="dxa"/>
            <w:tcBorders>
              <w:top w:val="single" w:sz="4" w:space="0" w:color="auto"/>
              <w:left w:val="nil"/>
              <w:bottom w:val="single" w:sz="8" w:space="0" w:color="707070"/>
              <w:right w:val="nil"/>
            </w:tcBorders>
            <w:vAlign w:val="center"/>
          </w:tcPr>
          <w:p w14:paraId="73A5EEE2" w14:textId="77777777" w:rsidR="00501E46" w:rsidRPr="00E44812" w:rsidRDefault="00501E46" w:rsidP="00FA413D">
            <w:pPr>
              <w:keepLines/>
              <w:spacing w:line="240" w:lineRule="auto"/>
              <w:jc w:val="right"/>
              <w:rPr>
                <w:rFonts w:ascii="Calibri" w:eastAsia="Times New Roman" w:hAnsi="Calibri" w:cs="Calibri"/>
                <w:sz w:val="14"/>
                <w:szCs w:val="14"/>
              </w:rPr>
            </w:pPr>
            <w:r>
              <w:rPr>
                <w:rFonts w:ascii="Calibri" w:hAnsi="Calibri"/>
                <w:sz w:val="14"/>
              </w:rPr>
              <w:t>12/31/2024</w:t>
            </w:r>
          </w:p>
        </w:tc>
        <w:tc>
          <w:tcPr>
            <w:tcW w:w="215" w:type="dxa"/>
            <w:tcBorders>
              <w:top w:val="nil"/>
              <w:left w:val="nil"/>
              <w:right w:val="nil"/>
            </w:tcBorders>
            <w:vAlign w:val="center"/>
          </w:tcPr>
          <w:p w14:paraId="3FCA4585" w14:textId="77777777" w:rsidR="00501E46" w:rsidRPr="00E44812" w:rsidRDefault="00501E46" w:rsidP="00FA413D">
            <w:pPr>
              <w:keepLines/>
              <w:spacing w:line="240" w:lineRule="auto"/>
              <w:jc w:val="right"/>
              <w:rPr>
                <w:rFonts w:ascii="Calibri" w:eastAsia="Times New Roman" w:hAnsi="Calibri" w:cs="Calibri"/>
                <w:sz w:val="14"/>
                <w:szCs w:val="14"/>
                <w:lang w:eastAsia="de-DE"/>
              </w:rPr>
            </w:pPr>
          </w:p>
        </w:tc>
        <w:tc>
          <w:tcPr>
            <w:tcW w:w="1882" w:type="dxa"/>
            <w:tcBorders>
              <w:top w:val="single" w:sz="4" w:space="0" w:color="auto"/>
              <w:left w:val="nil"/>
              <w:bottom w:val="single" w:sz="8" w:space="0" w:color="707070"/>
              <w:right w:val="nil"/>
            </w:tcBorders>
            <w:vAlign w:val="center"/>
          </w:tcPr>
          <w:p w14:paraId="4DD9D99B" w14:textId="77777777" w:rsidR="00501E46" w:rsidRPr="00E44812" w:rsidRDefault="00501E46" w:rsidP="00FA413D">
            <w:pPr>
              <w:keepLines/>
              <w:spacing w:line="240" w:lineRule="auto"/>
              <w:jc w:val="right"/>
              <w:rPr>
                <w:rFonts w:ascii="Calibri" w:eastAsia="Times New Roman" w:hAnsi="Calibri" w:cs="Calibri"/>
                <w:sz w:val="14"/>
                <w:szCs w:val="14"/>
              </w:rPr>
            </w:pPr>
            <w:r>
              <w:rPr>
                <w:rFonts w:ascii="Calibri" w:hAnsi="Calibri"/>
                <w:sz w:val="14"/>
              </w:rPr>
              <w:t xml:space="preserve">Change </w:t>
            </w:r>
            <w:r>
              <w:rPr>
                <w:rFonts w:ascii="Calibri" w:hAnsi="Calibri"/>
                <w:sz w:val="14"/>
              </w:rPr>
              <w:br/>
              <w:t>in %</w:t>
            </w:r>
          </w:p>
        </w:tc>
      </w:tr>
      <w:tr w:rsidR="00FA413D" w:rsidRPr="00510812" w14:paraId="3F59AED8" w14:textId="77777777" w:rsidTr="005602C9">
        <w:trPr>
          <w:cantSplit/>
          <w:trHeight w:val="300"/>
        </w:trPr>
        <w:tc>
          <w:tcPr>
            <w:tcW w:w="1587" w:type="dxa"/>
            <w:tcBorders>
              <w:top w:val="nil"/>
              <w:left w:val="nil"/>
              <w:bottom w:val="single" w:sz="4" w:space="0" w:color="auto"/>
              <w:right w:val="nil"/>
            </w:tcBorders>
            <w:vAlign w:val="center"/>
            <w:hideMark/>
          </w:tcPr>
          <w:p w14:paraId="0DEE3377" w14:textId="77777777" w:rsidR="00501E46" w:rsidRPr="00FF48CA" w:rsidRDefault="00501E46" w:rsidP="00FA413D">
            <w:pPr>
              <w:keepLines/>
              <w:spacing w:line="240" w:lineRule="auto"/>
              <w:rPr>
                <w:rFonts w:ascii="Calibri" w:eastAsia="Times New Roman" w:hAnsi="Calibri" w:cs="Calibri"/>
                <w:sz w:val="14"/>
                <w:szCs w:val="14"/>
              </w:rPr>
            </w:pPr>
            <w:r>
              <w:rPr>
                <w:rFonts w:ascii="Calibri" w:hAnsi="Calibri"/>
                <w:sz w:val="14"/>
              </w:rPr>
              <w:t>Employees</w:t>
            </w:r>
          </w:p>
        </w:tc>
        <w:tc>
          <w:tcPr>
            <w:tcW w:w="213" w:type="dxa"/>
            <w:tcBorders>
              <w:top w:val="nil"/>
              <w:left w:val="nil"/>
              <w:right w:val="nil"/>
            </w:tcBorders>
            <w:noWrap/>
            <w:vAlign w:val="center"/>
            <w:hideMark/>
          </w:tcPr>
          <w:p w14:paraId="06390FA3" w14:textId="77777777" w:rsidR="00501E46" w:rsidRPr="00FF48CA" w:rsidRDefault="00501E46" w:rsidP="00FA413D">
            <w:pPr>
              <w:keepLines/>
              <w:spacing w:line="240" w:lineRule="auto"/>
              <w:rPr>
                <w:rFonts w:ascii="Calibri" w:eastAsia="Times New Roman" w:hAnsi="Calibri" w:cs="Calibri"/>
                <w:color w:val="616161"/>
                <w:sz w:val="14"/>
                <w:szCs w:val="14"/>
              </w:rPr>
            </w:pPr>
            <w:r>
              <w:rPr>
                <w:rFonts w:ascii="Calibri" w:hAnsi="Calibri"/>
                <w:color w:val="616161"/>
                <w:sz w:val="14"/>
              </w:rPr>
              <w:t> </w:t>
            </w:r>
          </w:p>
        </w:tc>
        <w:tc>
          <w:tcPr>
            <w:tcW w:w="850" w:type="dxa"/>
            <w:tcBorders>
              <w:top w:val="single" w:sz="8" w:space="0" w:color="707070"/>
              <w:left w:val="nil"/>
              <w:bottom w:val="single" w:sz="4" w:space="0" w:color="auto"/>
              <w:right w:val="nil"/>
            </w:tcBorders>
            <w:noWrap/>
            <w:vAlign w:val="center"/>
            <w:hideMark/>
          </w:tcPr>
          <w:p w14:paraId="5619848E" w14:textId="436A7909" w:rsidR="00501E46" w:rsidRPr="00FF48CA" w:rsidRDefault="009D50CA" w:rsidP="00FA413D">
            <w:pPr>
              <w:keepLines/>
              <w:spacing w:line="240" w:lineRule="auto"/>
              <w:jc w:val="right"/>
              <w:rPr>
                <w:rFonts w:ascii="Calibri" w:eastAsia="Times New Roman" w:hAnsi="Calibri" w:cs="Calibri"/>
                <w:color w:val="00B050"/>
                <w:sz w:val="14"/>
                <w:szCs w:val="14"/>
              </w:rPr>
            </w:pPr>
            <w:r>
              <w:rPr>
                <w:rFonts w:ascii="Calibri" w:hAnsi="Calibri"/>
                <w:color w:val="00B050"/>
                <w:sz w:val="14"/>
              </w:rPr>
              <w:t>110,753</w:t>
            </w:r>
          </w:p>
        </w:tc>
        <w:tc>
          <w:tcPr>
            <w:tcW w:w="215" w:type="dxa"/>
            <w:tcBorders>
              <w:top w:val="nil"/>
              <w:left w:val="nil"/>
              <w:right w:val="nil"/>
            </w:tcBorders>
            <w:noWrap/>
            <w:vAlign w:val="center"/>
            <w:hideMark/>
          </w:tcPr>
          <w:p w14:paraId="2BFF1919" w14:textId="77777777" w:rsidR="00501E46" w:rsidRPr="00FF48CA" w:rsidRDefault="00501E46" w:rsidP="00FA413D">
            <w:pPr>
              <w:keepLines/>
              <w:spacing w:line="240" w:lineRule="auto"/>
              <w:jc w:val="right"/>
              <w:rPr>
                <w:rFonts w:ascii="Calibri" w:eastAsia="Times New Roman" w:hAnsi="Calibri" w:cs="Calibri"/>
                <w:color w:val="008639"/>
                <w:sz w:val="14"/>
                <w:szCs w:val="14"/>
              </w:rPr>
            </w:pPr>
            <w:r>
              <w:rPr>
                <w:rFonts w:ascii="Calibri" w:hAnsi="Calibri"/>
                <w:color w:val="008639"/>
                <w:sz w:val="14"/>
              </w:rPr>
              <w:t> </w:t>
            </w:r>
          </w:p>
        </w:tc>
        <w:tc>
          <w:tcPr>
            <w:tcW w:w="850" w:type="dxa"/>
            <w:tcBorders>
              <w:top w:val="single" w:sz="8" w:space="0" w:color="707070"/>
              <w:left w:val="nil"/>
              <w:bottom w:val="single" w:sz="4" w:space="0" w:color="auto"/>
              <w:right w:val="nil"/>
            </w:tcBorders>
          </w:tcPr>
          <w:p w14:paraId="7472A1EE" w14:textId="24D1660B" w:rsidR="00501E46" w:rsidRPr="00E44812" w:rsidRDefault="009D50CA" w:rsidP="00FA413D">
            <w:pPr>
              <w:keepLines/>
              <w:spacing w:line="240" w:lineRule="auto"/>
              <w:jc w:val="right"/>
              <w:rPr>
                <w:rFonts w:ascii="Calibri" w:eastAsia="Times New Roman" w:hAnsi="Calibri" w:cs="Calibri"/>
                <w:sz w:val="14"/>
                <w:szCs w:val="14"/>
              </w:rPr>
            </w:pPr>
            <w:r>
              <w:rPr>
                <w:rFonts w:ascii="Calibri" w:hAnsi="Calibri"/>
                <w:sz w:val="14"/>
              </w:rPr>
              <w:t>115,055</w:t>
            </w:r>
          </w:p>
        </w:tc>
        <w:tc>
          <w:tcPr>
            <w:tcW w:w="215" w:type="dxa"/>
            <w:tcBorders>
              <w:top w:val="nil"/>
              <w:left w:val="nil"/>
              <w:right w:val="nil"/>
            </w:tcBorders>
            <w:noWrap/>
            <w:vAlign w:val="center"/>
            <w:hideMark/>
          </w:tcPr>
          <w:p w14:paraId="6CBB1D19" w14:textId="77777777" w:rsidR="00501E46" w:rsidRPr="00E44812" w:rsidRDefault="00501E46" w:rsidP="00FA413D">
            <w:pPr>
              <w:keepLines/>
              <w:spacing w:line="240" w:lineRule="auto"/>
              <w:jc w:val="right"/>
              <w:rPr>
                <w:rFonts w:ascii="Calibri" w:eastAsia="Times New Roman" w:hAnsi="Calibri" w:cs="Calibri"/>
                <w:sz w:val="14"/>
                <w:szCs w:val="14"/>
              </w:rPr>
            </w:pPr>
            <w:r>
              <w:rPr>
                <w:rFonts w:ascii="Calibri" w:hAnsi="Calibri"/>
                <w:sz w:val="14"/>
              </w:rPr>
              <w:t> </w:t>
            </w:r>
          </w:p>
        </w:tc>
        <w:tc>
          <w:tcPr>
            <w:tcW w:w="1882" w:type="dxa"/>
            <w:tcBorders>
              <w:top w:val="single" w:sz="8" w:space="0" w:color="707070"/>
              <w:left w:val="nil"/>
              <w:bottom w:val="single" w:sz="4" w:space="0" w:color="auto"/>
              <w:right w:val="nil"/>
            </w:tcBorders>
            <w:noWrap/>
            <w:vAlign w:val="center"/>
            <w:hideMark/>
          </w:tcPr>
          <w:p w14:paraId="615828D0" w14:textId="570E73C2" w:rsidR="00501E46" w:rsidRPr="00E44812" w:rsidRDefault="00501E46" w:rsidP="00FA413D">
            <w:pPr>
              <w:keepLines/>
              <w:spacing w:line="240" w:lineRule="auto"/>
              <w:jc w:val="right"/>
              <w:rPr>
                <w:rFonts w:ascii="Calibri" w:eastAsia="Times New Roman" w:hAnsi="Calibri" w:cs="Calibri"/>
                <w:sz w:val="14"/>
                <w:szCs w:val="14"/>
              </w:rPr>
            </w:pPr>
            <w:r>
              <w:rPr>
                <w:rFonts w:ascii="Calibri" w:hAnsi="Calibri"/>
                <w:sz w:val="14"/>
              </w:rPr>
              <w:t>-3.7</w:t>
            </w:r>
          </w:p>
        </w:tc>
      </w:tr>
      <w:tr w:rsidR="00501E46" w:rsidRPr="008918B7" w14:paraId="77CC4650" w14:textId="77777777" w:rsidTr="00FA413D">
        <w:trPr>
          <w:cantSplit/>
          <w:trHeight w:val="300"/>
        </w:trPr>
        <w:tc>
          <w:tcPr>
            <w:tcW w:w="5812" w:type="dxa"/>
            <w:gridSpan w:val="7"/>
            <w:tcBorders>
              <w:top w:val="nil"/>
              <w:left w:val="nil"/>
              <w:right w:val="nil"/>
            </w:tcBorders>
            <w:vAlign w:val="center"/>
          </w:tcPr>
          <w:p w14:paraId="6E957C3E" w14:textId="617FBEE9" w:rsidR="00501E46" w:rsidRPr="00036169" w:rsidRDefault="00501E46" w:rsidP="00FA413D">
            <w:pPr>
              <w:keepLines/>
              <w:spacing w:line="240" w:lineRule="auto"/>
              <w:rPr>
                <w:rFonts w:ascii="Calibri" w:eastAsia="Times New Roman" w:hAnsi="Calibri" w:cs="Calibri"/>
                <w:sz w:val="12"/>
                <w:szCs w:val="12"/>
              </w:rPr>
            </w:pPr>
            <w:r>
              <w:rPr>
                <w:rFonts w:ascii="Calibri" w:hAnsi="Calibri"/>
                <w:sz w:val="14"/>
                <w:vertAlign w:val="superscript"/>
              </w:rPr>
              <w:t>1)</w:t>
            </w:r>
            <w:r>
              <w:rPr>
                <w:rFonts w:ascii="Calibri" w:hAnsi="Calibri"/>
                <w:sz w:val="14"/>
              </w:rPr>
              <w:t xml:space="preserve"> </w:t>
            </w:r>
            <w:r>
              <w:rPr>
                <w:rFonts w:ascii="Calibri" w:hAnsi="Calibri"/>
                <w:sz w:val="12"/>
              </w:rPr>
              <w:t xml:space="preserve">Please refer to the 2025 annual report, pp. 23 et seq., for the definition of special items. </w:t>
            </w:r>
            <w:r>
              <w:rPr>
                <w:rFonts w:ascii="Calibri" w:hAnsi="Calibri"/>
                <w:sz w:val="14"/>
              </w:rPr>
              <w:br/>
            </w:r>
            <w:r>
              <w:rPr>
                <w:rFonts w:ascii="Calibri" w:hAnsi="Calibri"/>
                <w:sz w:val="14"/>
                <w:vertAlign w:val="superscript"/>
              </w:rPr>
              <w:t>2)</w:t>
            </w:r>
            <w:r>
              <w:rPr>
                <w:rFonts w:ascii="Calibri" w:hAnsi="Calibri"/>
                <w:sz w:val="14"/>
              </w:rPr>
              <w:t xml:space="preserve"> </w:t>
            </w:r>
            <w:r>
              <w:rPr>
                <w:rFonts w:ascii="Calibri" w:hAnsi="Calibri"/>
                <w:sz w:val="12"/>
              </w:rPr>
              <w:t>Before cash in- and outflows for M&amp;A activities.</w:t>
            </w:r>
            <w:r>
              <w:rPr>
                <w:rFonts w:ascii="Calibri" w:hAnsi="Calibri"/>
                <w:sz w:val="14"/>
              </w:rPr>
              <w:br/>
            </w:r>
            <w:r>
              <w:rPr>
                <w:rFonts w:ascii="Calibri" w:hAnsi="Calibri"/>
                <w:sz w:val="14"/>
                <w:vertAlign w:val="superscript"/>
              </w:rPr>
              <w:t>3)</w:t>
            </w:r>
            <w:r>
              <w:rPr>
                <w:rFonts w:ascii="Calibri" w:hAnsi="Calibri"/>
                <w:sz w:val="14"/>
              </w:rPr>
              <w:t xml:space="preserve"> </w:t>
            </w:r>
            <w:r>
              <w:rPr>
                <w:rFonts w:ascii="Calibri" w:hAnsi="Calibri"/>
                <w:sz w:val="12"/>
              </w:rPr>
              <w:t>Amounts on comparable basis. Please refer to the related discussion in the 2025 annual report, pg. i41.</w:t>
            </w:r>
            <w:r>
              <w:rPr>
                <w:rFonts w:ascii="Calibri" w:hAnsi="Calibri"/>
                <w:sz w:val="12"/>
              </w:rPr>
              <w:br/>
            </w:r>
            <w:r>
              <w:rPr>
                <w:rFonts w:ascii="Calibri" w:hAnsi="Calibri"/>
                <w:sz w:val="14"/>
                <w:vertAlign w:val="superscript"/>
              </w:rPr>
              <w:t>4)</w:t>
            </w:r>
            <w:r>
              <w:rPr>
                <w:rFonts w:ascii="Calibri" w:hAnsi="Calibri"/>
                <w:sz w:val="14"/>
              </w:rPr>
              <w:t xml:space="preserve"> </w:t>
            </w:r>
            <w:r>
              <w:rPr>
                <w:rFonts w:ascii="Calibri" w:hAnsi="Calibri"/>
                <w:sz w:val="12"/>
              </w:rPr>
              <w:t>Includes one-off Vitesco payments related to the Contract Manufacturing busine</w:t>
            </w:r>
            <w:r w:rsidR="00A37BDA">
              <w:rPr>
                <w:rFonts w:ascii="Calibri" w:hAnsi="Calibri"/>
                <w:sz w:val="12"/>
              </w:rPr>
              <w:t xml:space="preserve">ss, primarily driven by payment </w:t>
            </w:r>
            <w:r>
              <w:rPr>
                <w:rFonts w:ascii="Calibri" w:hAnsi="Calibri"/>
                <w:sz w:val="12"/>
              </w:rPr>
              <w:t>terms adjustments.</w:t>
            </w:r>
          </w:p>
        </w:tc>
      </w:tr>
    </w:tbl>
    <w:p w14:paraId="249A22AF" w14:textId="77777777" w:rsidR="00501E46" w:rsidRDefault="00501E46" w:rsidP="00B13126"/>
    <w:p w14:paraId="60278548" w14:textId="6667F9FA" w:rsidR="00D33680" w:rsidRPr="00EC210D" w:rsidRDefault="007C1897" w:rsidP="00501E46">
      <w:pPr>
        <w:rPr>
          <w:lang w:val="it-IT"/>
        </w:rPr>
      </w:pPr>
      <w:r w:rsidRPr="00EC210D">
        <w:rPr>
          <w:rStyle w:val="Enfasigrassetto"/>
          <w:lang w:val="it-IT"/>
        </w:rPr>
        <w:lastRenderedPageBreak/>
        <w:t xml:space="preserve">E-Mobility – </w:t>
      </w:r>
      <w:r w:rsidR="00FD30E6">
        <w:rPr>
          <w:rStyle w:val="Enfasigrassetto"/>
          <w:lang w:val="it-IT"/>
        </w:rPr>
        <w:t>S</w:t>
      </w:r>
      <w:r w:rsidR="00FD30E6" w:rsidRPr="00EC210D">
        <w:rPr>
          <w:b/>
          <w:bCs/>
          <w:lang w:val="it-IT"/>
        </w:rPr>
        <w:t>ovraperformance</w:t>
      </w:r>
      <w:r w:rsidR="00EC210D" w:rsidRPr="00EC210D">
        <w:rPr>
          <w:b/>
          <w:bCs/>
          <w:lang w:val="it-IT"/>
        </w:rPr>
        <w:t xml:space="preserve"> nel segmento dei veicoli elettrici a batteria</w:t>
      </w:r>
      <w:r w:rsidRPr="00EC210D">
        <w:rPr>
          <w:rStyle w:val="Enfasigrassetto"/>
          <w:lang w:val="it-IT"/>
        </w:rPr>
        <w:br/>
      </w:r>
      <w:r w:rsidR="00EC210D" w:rsidRPr="00EC210D">
        <w:rPr>
          <w:lang w:val="it-IT"/>
        </w:rPr>
        <w:t xml:space="preserve">Il fatturato della </w:t>
      </w:r>
      <w:r w:rsidR="001E40F5">
        <w:rPr>
          <w:lang w:val="it-IT"/>
        </w:rPr>
        <w:t>D</w:t>
      </w:r>
      <w:r w:rsidR="00EC210D" w:rsidRPr="00EC210D">
        <w:rPr>
          <w:lang w:val="it-IT"/>
        </w:rPr>
        <w:t>ivisione E</w:t>
      </w:r>
      <w:r w:rsidR="00EC210D" w:rsidRPr="00EC210D">
        <w:rPr>
          <w:lang w:val="it-IT"/>
        </w:rPr>
        <w:noBreakHyphen/>
        <w:t>Mobility è aumentato del 7,0</w:t>
      </w:r>
      <w:r w:rsidR="00EC210D">
        <w:rPr>
          <w:lang w:val="it-IT"/>
        </w:rPr>
        <w:t xml:space="preserve"> percento</w:t>
      </w:r>
      <w:r w:rsidR="00EC210D" w:rsidRPr="00EC210D">
        <w:rPr>
          <w:lang w:val="it-IT"/>
        </w:rPr>
        <w:t xml:space="preserve"> nel 2025, </w:t>
      </w:r>
      <w:r w:rsidR="00EC210D">
        <w:rPr>
          <w:lang w:val="it-IT"/>
        </w:rPr>
        <w:t>comparato su una</w:t>
      </w:r>
      <w:r w:rsidR="00EC210D" w:rsidRPr="00EC210D">
        <w:rPr>
          <w:lang w:val="it-IT"/>
        </w:rPr>
        <w:t xml:space="preserve"> base proforma e al netto degli effetti di cambio, raggiungendo 5.015 milioni di euro (proforma anno precedente: 4.816 milioni di euro). La crescita del fatturato è stata trainata principalmente dai ramp</w:t>
      </w:r>
      <w:r w:rsidR="00EC210D" w:rsidRPr="00EC210D">
        <w:rPr>
          <w:lang w:val="it-IT"/>
        </w:rPr>
        <w:noBreakHyphen/>
        <w:t>up dei prodotti, in parte sostenuti dall’aumento della produzione di veicoli elettrificati. Il fatturato è aumentato in quasi tutte le regioni. Con un</w:t>
      </w:r>
      <w:r w:rsidR="00EC210D">
        <w:rPr>
          <w:lang w:val="it-IT"/>
        </w:rPr>
        <w:t xml:space="preserve"> aumento</w:t>
      </w:r>
      <w:r w:rsidR="00EC210D" w:rsidRPr="00EC210D">
        <w:rPr>
          <w:lang w:val="it-IT"/>
        </w:rPr>
        <w:t xml:space="preserve"> del 22,5</w:t>
      </w:r>
      <w:r w:rsidR="00EC210D">
        <w:rPr>
          <w:lang w:val="it-IT"/>
        </w:rPr>
        <w:t xml:space="preserve"> percento</w:t>
      </w:r>
      <w:r w:rsidR="00EC210D" w:rsidRPr="00EC210D">
        <w:rPr>
          <w:lang w:val="it-IT"/>
        </w:rPr>
        <w:t xml:space="preserve">, la </w:t>
      </w:r>
      <w:r w:rsidR="001E40F5">
        <w:rPr>
          <w:lang w:val="it-IT"/>
        </w:rPr>
        <w:t>R</w:t>
      </w:r>
      <w:r w:rsidR="00EC210D" w:rsidRPr="00EC210D">
        <w:rPr>
          <w:lang w:val="it-IT"/>
        </w:rPr>
        <w:t xml:space="preserve">egione Asia/Pacific ha registrato la crescita del fatturato più elevata, </w:t>
      </w:r>
      <w:r w:rsidR="00EC210D">
        <w:rPr>
          <w:lang w:val="it-IT"/>
        </w:rPr>
        <w:t>comparat</w:t>
      </w:r>
      <w:r w:rsidR="001E40F5">
        <w:rPr>
          <w:lang w:val="it-IT"/>
        </w:rPr>
        <w:t>o</w:t>
      </w:r>
      <w:r w:rsidR="00EC210D">
        <w:rPr>
          <w:lang w:val="it-IT"/>
        </w:rPr>
        <w:t xml:space="preserve"> </w:t>
      </w:r>
      <w:r w:rsidR="00EC210D" w:rsidRPr="00EC210D">
        <w:rPr>
          <w:lang w:val="it-IT"/>
        </w:rPr>
        <w:t>su</w:t>
      </w:r>
      <w:r w:rsidR="00EC210D">
        <w:rPr>
          <w:lang w:val="it-IT"/>
        </w:rPr>
        <w:t xml:space="preserve"> una</w:t>
      </w:r>
      <w:r w:rsidR="00EC210D" w:rsidRPr="00EC210D">
        <w:rPr>
          <w:lang w:val="it-IT"/>
        </w:rPr>
        <w:t xml:space="preserve"> base proforma e al netto degli effetti di cambio</w:t>
      </w:r>
      <w:r w:rsidRPr="00EC210D">
        <w:rPr>
          <w:lang w:val="it-IT"/>
        </w:rPr>
        <w:t xml:space="preserve">. </w:t>
      </w:r>
    </w:p>
    <w:p w14:paraId="3D56BEA9" w14:textId="361BE811" w:rsidR="00EC210D" w:rsidRPr="00EC210D" w:rsidRDefault="00EC210D" w:rsidP="009467A3">
      <w:pPr>
        <w:rPr>
          <w:lang w:val="it-IT"/>
        </w:rPr>
      </w:pPr>
      <w:r w:rsidRPr="00EC210D">
        <w:rPr>
          <w:lang w:val="it-IT"/>
        </w:rPr>
        <w:t xml:space="preserve">L’EBIT </w:t>
      </w:r>
      <w:r w:rsidR="00FD30E6" w:rsidRPr="00EC210D">
        <w:rPr>
          <w:lang w:val="it-IT"/>
        </w:rPr>
        <w:t xml:space="preserve">prima delle operazioni straordinarie </w:t>
      </w:r>
      <w:r w:rsidRPr="00EC210D">
        <w:rPr>
          <w:lang w:val="it-IT"/>
        </w:rPr>
        <w:t xml:space="preserve">della </w:t>
      </w:r>
      <w:r w:rsidR="001E40F5">
        <w:rPr>
          <w:lang w:val="it-IT"/>
        </w:rPr>
        <w:t>D</w:t>
      </w:r>
      <w:r w:rsidRPr="00EC210D">
        <w:rPr>
          <w:lang w:val="it-IT"/>
        </w:rPr>
        <w:t>ivisione E</w:t>
      </w:r>
      <w:r w:rsidRPr="00EC210D">
        <w:rPr>
          <w:rFonts w:ascii="Cambria Math" w:hAnsi="Cambria Math" w:cs="Cambria Math"/>
          <w:lang w:val="it-IT"/>
        </w:rPr>
        <w:t>‑</w:t>
      </w:r>
      <w:r w:rsidRPr="00EC210D">
        <w:rPr>
          <w:lang w:val="it-IT"/>
        </w:rPr>
        <w:t xml:space="preserve">Mobility per il 2025 </w:t>
      </w:r>
      <w:r w:rsidRPr="00EC210D">
        <w:rPr>
          <w:rFonts w:ascii="Calibri" w:hAnsi="Calibri" w:cs="Calibri"/>
          <w:lang w:val="it-IT"/>
        </w:rPr>
        <w:t>è</w:t>
      </w:r>
      <w:r w:rsidRPr="00EC210D">
        <w:rPr>
          <w:lang w:val="it-IT"/>
        </w:rPr>
        <w:t xml:space="preserve"> stato pari a </w:t>
      </w:r>
      <w:r w:rsidR="001E40F5">
        <w:rPr>
          <w:rFonts w:ascii="Calibri" w:hAnsi="Calibri" w:cs="Calibri"/>
          <w:lang w:val="it-IT"/>
        </w:rPr>
        <w:t>-</w:t>
      </w:r>
      <w:r w:rsidRPr="00EC210D">
        <w:rPr>
          <w:lang w:val="it-IT"/>
        </w:rPr>
        <w:t xml:space="preserve">805 milioni di euro (proforma anno precedente: </w:t>
      </w:r>
      <w:r w:rsidR="00500906">
        <w:rPr>
          <w:rFonts w:ascii="Calibri" w:hAnsi="Calibri" w:cs="Calibri"/>
          <w:lang w:val="it-IT"/>
        </w:rPr>
        <w:t>-</w:t>
      </w:r>
      <w:r w:rsidRPr="00EC210D">
        <w:rPr>
          <w:lang w:val="it-IT"/>
        </w:rPr>
        <w:t>1.066 milioni di euro). La crescita dei volumi di</w:t>
      </w:r>
      <w:r>
        <w:rPr>
          <w:lang w:val="it-IT"/>
        </w:rPr>
        <w:t xml:space="preserve"> vendita </w:t>
      </w:r>
      <w:r w:rsidRPr="00EC210D">
        <w:rPr>
          <w:lang w:val="it-IT"/>
        </w:rPr>
        <w:t xml:space="preserve">ha migliorato il margine EBIT prima delle operazioni straordinarie portandolo a </w:t>
      </w:r>
      <w:r w:rsidR="00500906">
        <w:rPr>
          <w:rFonts w:ascii="Calibri" w:hAnsi="Calibri" w:cs="Calibri"/>
          <w:lang w:val="it-IT"/>
        </w:rPr>
        <w:t>-</w:t>
      </w:r>
      <w:r w:rsidRPr="00EC210D">
        <w:rPr>
          <w:lang w:val="it-IT"/>
        </w:rPr>
        <w:t>16,0</w:t>
      </w:r>
      <w:r>
        <w:rPr>
          <w:lang w:val="it-IT"/>
        </w:rPr>
        <w:t xml:space="preserve"> percento</w:t>
      </w:r>
      <w:r w:rsidRPr="00EC210D">
        <w:rPr>
          <w:lang w:val="it-IT"/>
        </w:rPr>
        <w:t xml:space="preserve"> (proforma anno precedente: </w:t>
      </w:r>
      <w:r w:rsidR="00500906">
        <w:rPr>
          <w:rFonts w:ascii="Calibri" w:hAnsi="Calibri" w:cs="Calibri"/>
          <w:lang w:val="it-IT"/>
        </w:rPr>
        <w:t>-</w:t>
      </w:r>
      <w:r w:rsidRPr="00EC210D">
        <w:rPr>
          <w:lang w:val="it-IT"/>
        </w:rPr>
        <w:t>22,1</w:t>
      </w:r>
      <w:r>
        <w:rPr>
          <w:lang w:val="it-IT"/>
        </w:rPr>
        <w:t xml:space="preserve"> percento</w:t>
      </w:r>
      <w:r w:rsidRPr="00EC210D">
        <w:rPr>
          <w:lang w:val="it-IT"/>
        </w:rPr>
        <w:t>).</w:t>
      </w:r>
    </w:p>
    <w:p w14:paraId="14243453" w14:textId="75F91177" w:rsidR="009467A3" w:rsidRPr="00EC210D" w:rsidRDefault="00EC210D" w:rsidP="009467A3">
      <w:pPr>
        <w:rPr>
          <w:lang w:val="it-IT"/>
        </w:rPr>
      </w:pPr>
      <w:r>
        <w:rPr>
          <w:lang w:val="it-IT"/>
        </w:rPr>
        <w:t xml:space="preserve">Gli </w:t>
      </w:r>
      <w:r w:rsidRPr="00EC210D">
        <w:rPr>
          <w:lang w:val="it-IT"/>
        </w:rPr>
        <w:t>ordini</w:t>
      </w:r>
      <w:r>
        <w:rPr>
          <w:lang w:val="it-IT"/>
        </w:rPr>
        <w:t xml:space="preserve"> ricevuti</w:t>
      </w:r>
      <w:r w:rsidRPr="00EC210D">
        <w:rPr>
          <w:lang w:val="it-IT"/>
        </w:rPr>
        <w:t xml:space="preserve"> </w:t>
      </w:r>
      <w:r>
        <w:rPr>
          <w:lang w:val="it-IT"/>
        </w:rPr>
        <w:t>ne</w:t>
      </w:r>
      <w:r w:rsidRPr="00EC210D">
        <w:rPr>
          <w:lang w:val="it-IT"/>
        </w:rPr>
        <w:t xml:space="preserve">l 2025 </w:t>
      </w:r>
      <w:r>
        <w:rPr>
          <w:lang w:val="it-IT"/>
        </w:rPr>
        <w:t>sono stati</w:t>
      </w:r>
      <w:r w:rsidRPr="00EC210D">
        <w:rPr>
          <w:lang w:val="it-IT"/>
        </w:rPr>
        <w:t xml:space="preserve"> pari a circa 15,5 miliardi di euro per tutte le tipologie di propulsione, di cui 2,0 miliardi relativi ai sistemi di trazione completamente elettrici e 8,8 miliardi relativi ai sistemi ibridi</w:t>
      </w:r>
      <w:r w:rsidR="009467A3" w:rsidRPr="00EC210D">
        <w:rPr>
          <w:lang w:val="it-IT"/>
        </w:rPr>
        <w:t>.</w:t>
      </w:r>
      <w:r w:rsidR="00D80708" w:rsidRPr="00EC210D">
        <w:rPr>
          <w:lang w:val="it-IT"/>
        </w:rPr>
        <w:t xml:space="preserve"> </w:t>
      </w:r>
    </w:p>
    <w:p w14:paraId="7D810716" w14:textId="6828738B" w:rsidR="00F57A16" w:rsidRPr="00FD30E6" w:rsidRDefault="005F6738" w:rsidP="00501E46">
      <w:pPr>
        <w:rPr>
          <w:lang w:val="it-IT"/>
        </w:rPr>
      </w:pPr>
      <w:r w:rsidRPr="00FD30E6">
        <w:rPr>
          <w:rStyle w:val="Enfasigrassetto"/>
          <w:lang w:val="it-IT"/>
        </w:rPr>
        <w:t xml:space="preserve">Powertrain &amp; Chassis – </w:t>
      </w:r>
      <w:r w:rsidR="00FD30E6" w:rsidRPr="00FD30E6">
        <w:rPr>
          <w:rStyle w:val="Enfasigrassetto"/>
          <w:lang w:val="it-IT"/>
        </w:rPr>
        <w:t xml:space="preserve">Margine </w:t>
      </w:r>
      <w:r w:rsidRPr="00FD30E6">
        <w:rPr>
          <w:rStyle w:val="Enfasigrassetto"/>
          <w:lang w:val="it-IT"/>
        </w:rPr>
        <w:t xml:space="preserve">EBIT </w:t>
      </w:r>
      <w:r w:rsidR="00FD30E6" w:rsidRPr="00FD30E6">
        <w:rPr>
          <w:rStyle w:val="Enfasigrassetto"/>
          <w:lang w:val="it-IT"/>
        </w:rPr>
        <w:t>prima delle operazioni straordinarie al</w:t>
      </w:r>
      <w:r w:rsidRPr="00FD30E6">
        <w:rPr>
          <w:rStyle w:val="Enfasigrassetto"/>
          <w:lang w:val="it-IT"/>
        </w:rPr>
        <w:t xml:space="preserve"> 10</w:t>
      </w:r>
      <w:r w:rsidR="00FD30E6" w:rsidRPr="00FD30E6">
        <w:rPr>
          <w:rStyle w:val="Enfasigrassetto"/>
          <w:lang w:val="it-IT"/>
        </w:rPr>
        <w:t>,</w:t>
      </w:r>
      <w:r w:rsidRPr="00FD30E6">
        <w:rPr>
          <w:rStyle w:val="Enfasigrassetto"/>
          <w:lang w:val="it-IT"/>
        </w:rPr>
        <w:t>5</w:t>
      </w:r>
      <w:r w:rsidR="00751EA1" w:rsidRPr="00FD30E6">
        <w:rPr>
          <w:rStyle w:val="Enfasigrassetto"/>
          <w:lang w:val="it-IT"/>
        </w:rPr>
        <w:t> percent</w:t>
      </w:r>
      <w:r w:rsidR="00FD30E6" w:rsidRPr="00FD30E6">
        <w:rPr>
          <w:rStyle w:val="Enfasigrassetto"/>
          <w:lang w:val="it-IT"/>
        </w:rPr>
        <w:t>o</w:t>
      </w:r>
      <w:r w:rsidRPr="00FD30E6">
        <w:rPr>
          <w:rStyle w:val="Enfasigrassetto"/>
          <w:lang w:val="it-IT"/>
        </w:rPr>
        <w:br/>
      </w:r>
      <w:r w:rsidR="00FD30E6" w:rsidRPr="00FD30E6">
        <w:rPr>
          <w:lang w:val="it-IT"/>
        </w:rPr>
        <w:t xml:space="preserve">Il fatturato della </w:t>
      </w:r>
      <w:r w:rsidR="001E40F5">
        <w:rPr>
          <w:lang w:val="it-IT"/>
        </w:rPr>
        <w:t>D</w:t>
      </w:r>
      <w:r w:rsidR="00FD30E6" w:rsidRPr="00FD30E6">
        <w:rPr>
          <w:lang w:val="it-IT"/>
        </w:rPr>
        <w:t>ivisione Powertrain &amp; Chassis per il 2025 è diminuito del 5,2</w:t>
      </w:r>
      <w:r w:rsidR="00FD30E6">
        <w:rPr>
          <w:lang w:val="it-IT"/>
        </w:rPr>
        <w:t xml:space="preserve"> percento</w:t>
      </w:r>
      <w:r w:rsidR="00FD30E6" w:rsidRPr="00FD30E6">
        <w:rPr>
          <w:lang w:val="it-IT"/>
        </w:rPr>
        <w:t xml:space="preserve">, </w:t>
      </w:r>
      <w:r w:rsidR="00FD30E6">
        <w:rPr>
          <w:lang w:val="it-IT"/>
        </w:rPr>
        <w:t xml:space="preserve">comparato </w:t>
      </w:r>
      <w:r w:rsidR="00FD30E6" w:rsidRPr="00FD30E6">
        <w:rPr>
          <w:lang w:val="it-IT"/>
        </w:rPr>
        <w:t>su</w:t>
      </w:r>
      <w:r w:rsidR="00FD30E6">
        <w:rPr>
          <w:lang w:val="it-IT"/>
        </w:rPr>
        <w:t xml:space="preserve"> una</w:t>
      </w:r>
      <w:r w:rsidR="00FD30E6" w:rsidRPr="00FD30E6">
        <w:rPr>
          <w:lang w:val="it-IT"/>
        </w:rPr>
        <w:t xml:space="preserve"> base proforma e al netto degli effetti di cambio, attestandosi a 8.900 milioni di euro (proforma anno precedente: 9.656 milioni di euro). Il principale fattore è stata la debole domanda da parte dei produttori occidentali consolidati nella regione Europ</w:t>
      </w:r>
      <w:r w:rsidR="00FD30E6">
        <w:rPr>
          <w:lang w:val="it-IT"/>
        </w:rPr>
        <w:t>e</w:t>
      </w:r>
      <w:r w:rsidR="00FD30E6" w:rsidRPr="00FD30E6">
        <w:rPr>
          <w:lang w:val="it-IT"/>
        </w:rPr>
        <w:t>, come</w:t>
      </w:r>
      <w:r w:rsidR="00FD30E6">
        <w:rPr>
          <w:lang w:val="it-IT"/>
        </w:rPr>
        <w:t xml:space="preserve"> era stato</w:t>
      </w:r>
      <w:r w:rsidR="00FD30E6" w:rsidRPr="00FD30E6">
        <w:rPr>
          <w:lang w:val="it-IT"/>
        </w:rPr>
        <w:t xml:space="preserve"> previsto. Anche la razionalizzazione strategica del portafoglio ha avuto un impatto aggiuntivo.</w:t>
      </w:r>
    </w:p>
    <w:p w14:paraId="1EF803FF" w14:textId="6BE6A6F7" w:rsidR="00FD30E6" w:rsidRPr="00FD30E6" w:rsidRDefault="00FD30E6" w:rsidP="00FD30E6">
      <w:pPr>
        <w:rPr>
          <w:lang w:val="it-IT"/>
        </w:rPr>
      </w:pPr>
      <w:r w:rsidRPr="00FD30E6">
        <w:rPr>
          <w:lang w:val="it-IT"/>
        </w:rPr>
        <w:t xml:space="preserve">L’EBIT prima delle operazioni straordinarie della </w:t>
      </w:r>
      <w:r w:rsidR="001E40F5">
        <w:rPr>
          <w:lang w:val="it-IT"/>
        </w:rPr>
        <w:t>D</w:t>
      </w:r>
      <w:r w:rsidRPr="00FD30E6">
        <w:rPr>
          <w:lang w:val="it-IT"/>
        </w:rPr>
        <w:t>ivisione Powertrain &amp; Chassis nel periodo di riferimento è stato pari a 933 milioni di euro (proforma anno precedente: 1.101 milioni di euro). Ciò corrisponde a un margine EBIT prima delle operazioni straordinarie del 10,5</w:t>
      </w:r>
      <w:r>
        <w:rPr>
          <w:lang w:val="it-IT"/>
        </w:rPr>
        <w:t xml:space="preserve"> percento</w:t>
      </w:r>
      <w:r w:rsidRPr="00FD30E6">
        <w:rPr>
          <w:lang w:val="it-IT"/>
        </w:rPr>
        <w:t xml:space="preserve"> (proforma anno precedente: 11,4</w:t>
      </w:r>
      <w:r>
        <w:rPr>
          <w:lang w:val="it-IT"/>
        </w:rPr>
        <w:t xml:space="preserve"> percento</w:t>
      </w:r>
      <w:r w:rsidRPr="00FD30E6">
        <w:rPr>
          <w:lang w:val="it-IT"/>
        </w:rPr>
        <w:t>). Uno dei fattori che hanno determinato la diminuzione è stato l’andamento sfavorevole dei volumi, parzialmente compensato da una solida performance operativa e da</w:t>
      </w:r>
      <w:r>
        <w:rPr>
          <w:lang w:val="it-IT"/>
        </w:rPr>
        <w:t xml:space="preserve"> effetti</w:t>
      </w:r>
      <w:r w:rsidRPr="00FD30E6">
        <w:rPr>
          <w:lang w:val="it-IT"/>
        </w:rPr>
        <w:t xml:space="preserve"> favorevoli una tantum.</w:t>
      </w:r>
    </w:p>
    <w:p w14:paraId="13D55FCF" w14:textId="5A614552" w:rsidR="00F57A16" w:rsidRPr="00500906" w:rsidRDefault="00F57A16" w:rsidP="00F57A16">
      <w:pPr>
        <w:rPr>
          <w:lang w:val="it-IT"/>
        </w:rPr>
      </w:pPr>
      <w:r w:rsidRPr="00500906">
        <w:rPr>
          <w:rStyle w:val="Enfasigrassetto"/>
          <w:lang w:val="it-IT"/>
        </w:rPr>
        <w:t xml:space="preserve">Vehicle Lifetime Solutions – </w:t>
      </w:r>
      <w:r w:rsidR="00500906" w:rsidRPr="00500906">
        <w:rPr>
          <w:b/>
          <w:bCs/>
          <w:lang w:val="it-IT"/>
        </w:rPr>
        <w:t>Margine EBIT ai livelli elevati dell'anno precedente</w:t>
      </w:r>
      <w:r w:rsidRPr="00500906">
        <w:rPr>
          <w:rStyle w:val="Enfasigrassetto"/>
          <w:lang w:val="it-IT"/>
        </w:rPr>
        <w:br/>
      </w:r>
      <w:r w:rsidR="00500906" w:rsidRPr="00500906">
        <w:rPr>
          <w:lang w:val="it-IT"/>
        </w:rPr>
        <w:t xml:space="preserve">Il fatturato della </w:t>
      </w:r>
      <w:r w:rsidR="00A01266">
        <w:rPr>
          <w:lang w:val="it-IT"/>
        </w:rPr>
        <w:t>D</w:t>
      </w:r>
      <w:r w:rsidR="00500906" w:rsidRPr="00500906">
        <w:rPr>
          <w:lang w:val="it-IT"/>
        </w:rPr>
        <w:t>ivisione Vehicle Lifetime Solutions nel periodo di riferimento è aumentato del 5,0</w:t>
      </w:r>
      <w:r w:rsidR="00500906">
        <w:rPr>
          <w:lang w:val="it-IT"/>
        </w:rPr>
        <w:t xml:space="preserve"> percento</w:t>
      </w:r>
      <w:r w:rsidR="00500906" w:rsidRPr="00500906">
        <w:rPr>
          <w:lang w:val="it-IT"/>
        </w:rPr>
        <w:t>,</w:t>
      </w:r>
      <w:r w:rsidR="00500906">
        <w:rPr>
          <w:lang w:val="it-IT"/>
        </w:rPr>
        <w:t xml:space="preserve"> comparato su una</w:t>
      </w:r>
      <w:r w:rsidR="00500906" w:rsidRPr="00500906">
        <w:rPr>
          <w:lang w:val="it-IT"/>
        </w:rPr>
        <w:t xml:space="preserve"> base proforma e al netto degli effetti di cambio, raggiungendo 3.038 milioni di euro (proforma anno precedente: 2.961 milioni di euro), in gran parte grazie all’effetto dei volum</w:t>
      </w:r>
      <w:r w:rsidR="00500906">
        <w:rPr>
          <w:lang w:val="it-IT"/>
        </w:rPr>
        <w:t>i di vendita.</w:t>
      </w:r>
    </w:p>
    <w:p w14:paraId="5890E8AB" w14:textId="7235BA39" w:rsidR="00500906" w:rsidRPr="00500906" w:rsidRDefault="00500906" w:rsidP="00500906">
      <w:pPr>
        <w:rPr>
          <w:lang w:val="it-IT"/>
        </w:rPr>
      </w:pPr>
      <w:r w:rsidRPr="00500906">
        <w:rPr>
          <w:lang w:val="it-IT"/>
        </w:rPr>
        <w:t xml:space="preserve">L’EBIT prima delle operazioni straordinarie della </w:t>
      </w:r>
      <w:r w:rsidR="00A01266">
        <w:rPr>
          <w:lang w:val="it-IT"/>
        </w:rPr>
        <w:t>D</w:t>
      </w:r>
      <w:r w:rsidRPr="00500906">
        <w:rPr>
          <w:lang w:val="it-IT"/>
        </w:rPr>
        <w:t>ivisione Vehicle Lifetime Solutions nel periodo di riferimento è stato pari a 450 milioni di euro (proforma anno precedente: 440 milioni di euro). Il margine EBIT prima delle operazioni straordinarie, pari al 14,8</w:t>
      </w:r>
      <w:r>
        <w:rPr>
          <w:lang w:val="it-IT"/>
        </w:rPr>
        <w:t xml:space="preserve"> percento</w:t>
      </w:r>
      <w:r w:rsidRPr="00500906">
        <w:rPr>
          <w:lang w:val="it-IT"/>
        </w:rPr>
        <w:t>, è rimasto in linea con</w:t>
      </w:r>
      <w:r>
        <w:rPr>
          <w:lang w:val="it-IT"/>
        </w:rPr>
        <w:t xml:space="preserve"> quello</w:t>
      </w:r>
      <w:r w:rsidRPr="00500906">
        <w:rPr>
          <w:lang w:val="it-IT"/>
        </w:rPr>
        <w:t xml:space="preserve"> </w:t>
      </w:r>
      <w:r>
        <w:rPr>
          <w:lang w:val="it-IT"/>
        </w:rPr>
        <w:t>del</w:t>
      </w:r>
      <w:r w:rsidRPr="00500906">
        <w:rPr>
          <w:lang w:val="it-IT"/>
        </w:rPr>
        <w:t xml:space="preserve">l’anno </w:t>
      </w:r>
      <w:r w:rsidRPr="00500906">
        <w:rPr>
          <w:lang w:val="it-IT"/>
        </w:rPr>
        <w:lastRenderedPageBreak/>
        <w:t xml:space="preserve">precedente </w:t>
      </w:r>
      <w:r>
        <w:rPr>
          <w:lang w:val="it-IT"/>
        </w:rPr>
        <w:t xml:space="preserve">comparato </w:t>
      </w:r>
      <w:r w:rsidRPr="00500906">
        <w:rPr>
          <w:lang w:val="it-IT"/>
        </w:rPr>
        <w:t>su base proforma (proforma anno precedente: 14,8</w:t>
      </w:r>
      <w:r>
        <w:rPr>
          <w:lang w:val="it-IT"/>
        </w:rPr>
        <w:t xml:space="preserve"> percento</w:t>
      </w:r>
      <w:r w:rsidRPr="00500906">
        <w:rPr>
          <w:lang w:val="it-IT"/>
        </w:rPr>
        <w:t>), poiché l’impatto sfavorevole del mix di fatturato e dei tassi di cambio è stato compensato dagli effetti positivi dei volumi</w:t>
      </w:r>
      <w:r>
        <w:rPr>
          <w:lang w:val="it-IT"/>
        </w:rPr>
        <w:t xml:space="preserve"> di vendita</w:t>
      </w:r>
      <w:r w:rsidRPr="00500906">
        <w:rPr>
          <w:lang w:val="it-IT"/>
        </w:rPr>
        <w:t xml:space="preserve"> e dei prezzi.</w:t>
      </w:r>
      <w:r>
        <w:rPr>
          <w:lang w:val="it-IT"/>
        </w:rPr>
        <w:t xml:space="preserve"> </w:t>
      </w:r>
    </w:p>
    <w:p w14:paraId="601FEC7C" w14:textId="13593DAB" w:rsidR="00500906" w:rsidRPr="00500906" w:rsidRDefault="00020B69" w:rsidP="00500906">
      <w:pPr>
        <w:rPr>
          <w:lang w:val="it-IT"/>
        </w:rPr>
      </w:pPr>
      <w:r w:rsidRPr="00500906">
        <w:rPr>
          <w:rStyle w:val="Enfasigrassetto"/>
          <w:lang w:val="it-IT"/>
        </w:rPr>
        <w:t xml:space="preserve">Bearings &amp; Industrial Solutions – EBIT </w:t>
      </w:r>
      <w:r w:rsidR="00500906" w:rsidRPr="00500906">
        <w:rPr>
          <w:rStyle w:val="Enfasigrassetto"/>
          <w:lang w:val="it-IT"/>
        </w:rPr>
        <w:t>aumentato</w:t>
      </w:r>
      <w:r w:rsidRPr="00500906">
        <w:rPr>
          <w:rStyle w:val="Enfasigrassetto"/>
          <w:lang w:val="it-IT"/>
        </w:rPr>
        <w:t xml:space="preserve"> </w:t>
      </w:r>
      <w:r w:rsidR="00500906" w:rsidRPr="00500906">
        <w:rPr>
          <w:rStyle w:val="Enfasigrassetto"/>
          <w:lang w:val="it-IT"/>
        </w:rPr>
        <w:t>considerabilmente</w:t>
      </w:r>
      <w:r w:rsidRPr="00500906">
        <w:rPr>
          <w:rStyle w:val="Enfasigrassetto"/>
          <w:lang w:val="it-IT"/>
        </w:rPr>
        <w:br/>
      </w:r>
      <w:r w:rsidR="00500906" w:rsidRPr="00500906">
        <w:rPr>
          <w:lang w:val="it-IT"/>
        </w:rPr>
        <w:t xml:space="preserve">Nella </w:t>
      </w:r>
      <w:r w:rsidR="00A01266">
        <w:rPr>
          <w:lang w:val="it-IT"/>
        </w:rPr>
        <w:t>D</w:t>
      </w:r>
      <w:r w:rsidR="00500906" w:rsidRPr="00500906">
        <w:rPr>
          <w:lang w:val="it-IT"/>
        </w:rPr>
        <w:t>ivisione Bearings &amp; Industrial Solutions, il fatturato è aumentato leggermente nel 2025, registrando una crescita dello 0,7</w:t>
      </w:r>
      <w:r w:rsidR="00500906">
        <w:rPr>
          <w:lang w:val="it-IT"/>
        </w:rPr>
        <w:t xml:space="preserve"> percento</w:t>
      </w:r>
      <w:r w:rsidR="00500906" w:rsidRPr="00500906">
        <w:rPr>
          <w:lang w:val="it-IT"/>
        </w:rPr>
        <w:t xml:space="preserve">, </w:t>
      </w:r>
      <w:r w:rsidR="00500906">
        <w:rPr>
          <w:lang w:val="it-IT"/>
        </w:rPr>
        <w:t>comparato su una</w:t>
      </w:r>
      <w:r w:rsidR="00500906" w:rsidRPr="00500906">
        <w:rPr>
          <w:lang w:val="it-IT"/>
        </w:rPr>
        <w:t xml:space="preserve"> base proforma e al netto degli effetti di cambio, raggiungendo 6.368 milioni di euro (anno precedente: 6.525 milioni di euro). Tale andamento è stato sostenuto principalmente dalle dinamiche favorevoli nel settore Wind e nella </w:t>
      </w:r>
      <w:r w:rsidR="00A01266">
        <w:rPr>
          <w:lang w:val="it-IT"/>
        </w:rPr>
        <w:t>B</w:t>
      </w:r>
      <w:r w:rsidR="00500906" w:rsidRPr="00500906">
        <w:rPr>
          <w:lang w:val="it-IT"/>
        </w:rPr>
        <w:t xml:space="preserve">usiness </w:t>
      </w:r>
      <w:r w:rsidR="00A01266">
        <w:rPr>
          <w:lang w:val="it-IT"/>
        </w:rPr>
        <w:t>D</w:t>
      </w:r>
      <w:r w:rsidR="00500906" w:rsidRPr="00500906">
        <w:rPr>
          <w:lang w:val="it-IT"/>
        </w:rPr>
        <w:t xml:space="preserve">ivision Aerospace Bearings. Tutte le regioni hanno registrato lievi aumenti del fatturato nel periodo di riferimento, </w:t>
      </w:r>
      <w:r w:rsidR="00500906">
        <w:rPr>
          <w:lang w:val="it-IT"/>
        </w:rPr>
        <w:t>comparato su una base</w:t>
      </w:r>
      <w:r w:rsidR="00500906" w:rsidRPr="00500906">
        <w:rPr>
          <w:lang w:val="it-IT"/>
        </w:rPr>
        <w:t xml:space="preserve"> proforma e al netto degli effetti di cambio.</w:t>
      </w:r>
    </w:p>
    <w:p w14:paraId="5ECF0727" w14:textId="2C9526F3" w:rsidR="00501E46" w:rsidRPr="00500906" w:rsidRDefault="00500906" w:rsidP="00500906">
      <w:pPr>
        <w:rPr>
          <w:lang w:val="it-IT"/>
        </w:rPr>
      </w:pPr>
      <w:r w:rsidRPr="00500906">
        <w:rPr>
          <w:lang w:val="it-IT"/>
        </w:rPr>
        <w:t>L’EBIT prima delle operazioni straordinarie per lo stesso periodo è stato pari a 475 milioni di euro (proforma anno precedente: 435 milioni di euro). Ciò corrisponde a un margine EBIT prima delle operazioni straordinarie del 7,5</w:t>
      </w:r>
      <w:r>
        <w:rPr>
          <w:lang w:val="it-IT"/>
        </w:rPr>
        <w:t xml:space="preserve"> percento</w:t>
      </w:r>
      <w:r w:rsidRPr="00500906">
        <w:rPr>
          <w:lang w:val="it-IT"/>
        </w:rPr>
        <w:t xml:space="preserve"> (proforma anno precedente: 6,7</w:t>
      </w:r>
      <w:r>
        <w:rPr>
          <w:lang w:val="it-IT"/>
        </w:rPr>
        <w:t xml:space="preserve"> percento</w:t>
      </w:r>
      <w:r w:rsidRPr="00500906">
        <w:rPr>
          <w:lang w:val="it-IT"/>
        </w:rPr>
        <w:t>). L’aumento del margine EBIT prima delle operazioni straordinarie,</w:t>
      </w:r>
      <w:r>
        <w:rPr>
          <w:lang w:val="it-IT"/>
        </w:rPr>
        <w:t xml:space="preserve"> comparato</w:t>
      </w:r>
      <w:r w:rsidRPr="00500906">
        <w:rPr>
          <w:lang w:val="it-IT"/>
        </w:rPr>
        <w:t xml:space="preserve"> su base proforma, è riconducibile in larga misura al miglioramento della performance operativa, in particolare negli stabilimenti produttivi</w:t>
      </w:r>
      <w:r w:rsidR="008F578B" w:rsidRPr="00500906">
        <w:rPr>
          <w:lang w:val="it-IT"/>
        </w:rPr>
        <w:t>.</w:t>
      </w:r>
    </w:p>
    <w:p w14:paraId="2745A9D0" w14:textId="77777777" w:rsidR="00501E46" w:rsidRPr="00500906" w:rsidRDefault="00501E46" w:rsidP="00B13126">
      <w:pPr>
        <w:rPr>
          <w:lang w:val="it-IT"/>
        </w:rPr>
      </w:pPr>
    </w:p>
    <w:tbl>
      <w:tblPr>
        <w:tblW w:w="5812" w:type="dxa"/>
        <w:tblCellMar>
          <w:left w:w="70" w:type="dxa"/>
          <w:right w:w="70" w:type="dxa"/>
        </w:tblCellMar>
        <w:tblLook w:val="04A0" w:firstRow="1" w:lastRow="0" w:firstColumn="1" w:lastColumn="0" w:noHBand="0" w:noVBand="1"/>
      </w:tblPr>
      <w:tblGrid>
        <w:gridCol w:w="1984"/>
        <w:gridCol w:w="163"/>
        <w:gridCol w:w="794"/>
        <w:gridCol w:w="162"/>
        <w:gridCol w:w="796"/>
        <w:gridCol w:w="161"/>
        <w:gridCol w:w="1752"/>
      </w:tblGrid>
      <w:tr w:rsidR="00501E46" w:rsidRPr="005B787E" w14:paraId="119D703F" w14:textId="77777777" w:rsidTr="00501E46">
        <w:trPr>
          <w:trHeight w:val="300"/>
        </w:trPr>
        <w:tc>
          <w:tcPr>
            <w:tcW w:w="5812" w:type="dxa"/>
            <w:gridSpan w:val="7"/>
            <w:tcBorders>
              <w:left w:val="nil"/>
            </w:tcBorders>
            <w:noWrap/>
          </w:tcPr>
          <w:p w14:paraId="6C36E934" w14:textId="1ED46C08" w:rsidR="00501E46" w:rsidRPr="00D84056" w:rsidRDefault="00D84056" w:rsidP="00513A7C">
            <w:pPr>
              <w:spacing w:line="240" w:lineRule="auto"/>
              <w:rPr>
                <w:rFonts w:ascii="Calibri" w:hAnsi="Calibri"/>
                <w:b/>
                <w:lang w:val="it-IT"/>
              </w:rPr>
            </w:pPr>
            <w:r w:rsidRPr="00D84056">
              <w:rPr>
                <w:rFonts w:ascii="Calibri" w:hAnsi="Calibri"/>
                <w:b/>
                <w:bCs/>
                <w:lang w:val="it-IT"/>
              </w:rPr>
              <w:t xml:space="preserve">Indicatori finanziari chiave delle </w:t>
            </w:r>
            <w:r>
              <w:rPr>
                <w:rFonts w:ascii="Calibri" w:hAnsi="Calibri"/>
                <w:b/>
                <w:bCs/>
                <w:lang w:val="it-IT"/>
              </w:rPr>
              <w:t>D</w:t>
            </w:r>
            <w:r w:rsidRPr="00D84056">
              <w:rPr>
                <w:rFonts w:ascii="Calibri" w:hAnsi="Calibri"/>
                <w:b/>
                <w:bCs/>
                <w:lang w:val="it-IT"/>
              </w:rPr>
              <w:t>ivisioni del Gruppo Schaeffler</w:t>
            </w:r>
          </w:p>
        </w:tc>
      </w:tr>
      <w:tr w:rsidR="00501E46" w:rsidRPr="005B787E" w14:paraId="15A5E28B" w14:textId="77777777" w:rsidTr="00501E46">
        <w:trPr>
          <w:trHeight w:val="300"/>
        </w:trPr>
        <w:tc>
          <w:tcPr>
            <w:tcW w:w="5812" w:type="dxa"/>
            <w:gridSpan w:val="7"/>
            <w:tcBorders>
              <w:left w:val="nil"/>
              <w:bottom w:val="single" w:sz="4" w:space="0" w:color="auto"/>
            </w:tcBorders>
            <w:noWrap/>
            <w:vAlign w:val="center"/>
          </w:tcPr>
          <w:p w14:paraId="452ACA76" w14:textId="071A00E8" w:rsidR="00501E46" w:rsidRPr="00D84056" w:rsidRDefault="00501E46" w:rsidP="00513A7C">
            <w:pPr>
              <w:spacing w:line="240" w:lineRule="auto"/>
              <w:jc w:val="right"/>
              <w:rPr>
                <w:rFonts w:ascii="Calibri" w:eastAsia="Times New Roman" w:hAnsi="Calibri" w:cs="Calibri"/>
                <w:sz w:val="14"/>
                <w:szCs w:val="14"/>
                <w:lang w:val="it-IT" w:eastAsia="de-DE"/>
              </w:rPr>
            </w:pPr>
          </w:p>
        </w:tc>
      </w:tr>
      <w:tr w:rsidR="00501E46" w14:paraId="58374242" w14:textId="77777777" w:rsidTr="00501E46">
        <w:trPr>
          <w:trHeight w:val="300"/>
        </w:trPr>
        <w:tc>
          <w:tcPr>
            <w:tcW w:w="1984" w:type="dxa"/>
            <w:tcBorders>
              <w:left w:val="nil"/>
              <w:bottom w:val="single" w:sz="4" w:space="0" w:color="auto"/>
              <w:right w:val="nil"/>
            </w:tcBorders>
            <w:noWrap/>
            <w:vAlign w:val="center"/>
            <w:hideMark/>
          </w:tcPr>
          <w:p w14:paraId="17F0A186" w14:textId="253464CF" w:rsidR="00501E46" w:rsidRDefault="00501E46" w:rsidP="00513A7C">
            <w:pPr>
              <w:spacing w:line="240" w:lineRule="auto"/>
              <w:rPr>
                <w:rFonts w:ascii="Calibri" w:eastAsia="Times New Roman" w:hAnsi="Calibri" w:cs="Calibri"/>
                <w:sz w:val="14"/>
                <w:szCs w:val="14"/>
              </w:rPr>
            </w:pPr>
            <w:r>
              <w:rPr>
                <w:rFonts w:ascii="Calibri" w:hAnsi="Calibri"/>
                <w:sz w:val="14"/>
              </w:rPr>
              <w:t>in €</w:t>
            </w:r>
            <w:r w:rsidR="00751EA1">
              <w:rPr>
                <w:rFonts w:ascii="Calibri" w:hAnsi="Calibri"/>
                <w:sz w:val="14"/>
              </w:rPr>
              <w:t> million</w:t>
            </w:r>
            <w:r>
              <w:rPr>
                <w:rFonts w:ascii="Calibri" w:hAnsi="Calibri"/>
                <w:sz w:val="14"/>
              </w:rPr>
              <w:t>s</w:t>
            </w:r>
          </w:p>
        </w:tc>
        <w:tc>
          <w:tcPr>
            <w:tcW w:w="163" w:type="dxa"/>
            <w:tcBorders>
              <w:left w:val="nil"/>
              <w:bottom w:val="nil"/>
              <w:right w:val="nil"/>
            </w:tcBorders>
            <w:noWrap/>
            <w:vAlign w:val="bottom"/>
            <w:hideMark/>
          </w:tcPr>
          <w:p w14:paraId="05715FE9" w14:textId="77777777" w:rsidR="00501E46" w:rsidRDefault="00501E46" w:rsidP="00513A7C">
            <w:pPr>
              <w:spacing w:line="240" w:lineRule="auto"/>
              <w:rPr>
                <w:rFonts w:ascii="Calibri" w:eastAsia="Times New Roman" w:hAnsi="Calibri" w:cs="Calibri"/>
                <w:sz w:val="14"/>
                <w:szCs w:val="14"/>
                <w:lang w:eastAsia="de-DE"/>
              </w:rPr>
            </w:pPr>
          </w:p>
        </w:tc>
        <w:tc>
          <w:tcPr>
            <w:tcW w:w="794" w:type="dxa"/>
            <w:tcBorders>
              <w:left w:val="nil"/>
              <w:bottom w:val="single" w:sz="4" w:space="0" w:color="auto"/>
              <w:right w:val="nil"/>
            </w:tcBorders>
            <w:noWrap/>
            <w:vAlign w:val="center"/>
            <w:hideMark/>
          </w:tcPr>
          <w:p w14:paraId="69791308" w14:textId="77777777" w:rsidR="00501E46" w:rsidRDefault="00501E46" w:rsidP="00513A7C">
            <w:pPr>
              <w:spacing w:line="240" w:lineRule="auto"/>
              <w:jc w:val="right"/>
              <w:rPr>
                <w:rFonts w:ascii="Calibri" w:eastAsia="Times New Roman" w:hAnsi="Calibri" w:cs="Calibri"/>
                <w:color w:val="00B050"/>
                <w:sz w:val="14"/>
                <w:szCs w:val="14"/>
              </w:rPr>
            </w:pPr>
            <w:r>
              <w:rPr>
                <w:rFonts w:ascii="Calibri" w:hAnsi="Calibri"/>
                <w:color w:val="00B050"/>
                <w:sz w:val="14"/>
              </w:rPr>
              <w:t>2025</w:t>
            </w:r>
          </w:p>
        </w:tc>
        <w:tc>
          <w:tcPr>
            <w:tcW w:w="162" w:type="dxa"/>
            <w:tcBorders>
              <w:top w:val="single" w:sz="4" w:space="0" w:color="auto"/>
              <w:left w:val="nil"/>
              <w:bottom w:val="nil"/>
              <w:right w:val="nil"/>
            </w:tcBorders>
            <w:noWrap/>
            <w:vAlign w:val="bottom"/>
            <w:hideMark/>
          </w:tcPr>
          <w:p w14:paraId="64DC0C3F" w14:textId="77777777" w:rsidR="00501E46" w:rsidRDefault="00501E46" w:rsidP="00513A7C">
            <w:pPr>
              <w:spacing w:line="240" w:lineRule="auto"/>
              <w:jc w:val="right"/>
              <w:rPr>
                <w:rFonts w:ascii="Calibri" w:eastAsia="Times New Roman" w:hAnsi="Calibri" w:cs="Calibri"/>
                <w:color w:val="00B050"/>
                <w:sz w:val="14"/>
                <w:szCs w:val="14"/>
                <w:lang w:eastAsia="de-DE"/>
              </w:rPr>
            </w:pPr>
          </w:p>
        </w:tc>
        <w:tc>
          <w:tcPr>
            <w:tcW w:w="796" w:type="dxa"/>
            <w:tcBorders>
              <w:top w:val="single" w:sz="4" w:space="0" w:color="auto"/>
              <w:left w:val="nil"/>
              <w:bottom w:val="single" w:sz="4" w:space="0" w:color="auto"/>
              <w:right w:val="nil"/>
            </w:tcBorders>
            <w:noWrap/>
            <w:vAlign w:val="center"/>
            <w:hideMark/>
          </w:tcPr>
          <w:p w14:paraId="68CEADC4" w14:textId="77777777" w:rsidR="00501E46" w:rsidRDefault="00501E46" w:rsidP="00513A7C">
            <w:pPr>
              <w:spacing w:line="240" w:lineRule="auto"/>
              <w:jc w:val="right"/>
              <w:rPr>
                <w:rFonts w:ascii="Calibri" w:eastAsia="Times New Roman" w:hAnsi="Calibri" w:cs="Calibri"/>
                <w:sz w:val="14"/>
                <w:szCs w:val="14"/>
              </w:rPr>
            </w:pPr>
            <w:r>
              <w:rPr>
                <w:rFonts w:ascii="Calibri" w:hAnsi="Calibri"/>
                <w:sz w:val="14"/>
              </w:rPr>
              <w:t>2024</w:t>
            </w:r>
            <w:r>
              <w:rPr>
                <w:rFonts w:ascii="Calibri" w:hAnsi="Calibri"/>
                <w:sz w:val="14"/>
                <w:vertAlign w:val="superscript"/>
              </w:rPr>
              <w:t>2</w:t>
            </w:r>
          </w:p>
        </w:tc>
        <w:tc>
          <w:tcPr>
            <w:tcW w:w="161" w:type="dxa"/>
            <w:tcBorders>
              <w:top w:val="single" w:sz="4" w:space="0" w:color="auto"/>
              <w:left w:val="nil"/>
              <w:right w:val="nil"/>
            </w:tcBorders>
          </w:tcPr>
          <w:p w14:paraId="5BED3316" w14:textId="77777777" w:rsidR="00501E46" w:rsidRDefault="00501E46" w:rsidP="00513A7C">
            <w:pPr>
              <w:spacing w:line="240" w:lineRule="auto"/>
              <w:jc w:val="center"/>
              <w:rPr>
                <w:rFonts w:ascii="Calibri" w:eastAsia="Times New Roman" w:hAnsi="Calibri" w:cs="Calibri"/>
                <w:sz w:val="14"/>
                <w:szCs w:val="14"/>
                <w:lang w:eastAsia="de-DE"/>
              </w:rPr>
            </w:pPr>
          </w:p>
        </w:tc>
        <w:tc>
          <w:tcPr>
            <w:tcW w:w="1752" w:type="dxa"/>
            <w:tcBorders>
              <w:left w:val="nil"/>
              <w:bottom w:val="single" w:sz="4" w:space="0" w:color="auto"/>
            </w:tcBorders>
            <w:vAlign w:val="center"/>
          </w:tcPr>
          <w:p w14:paraId="35CDA8A3" w14:textId="6688A152" w:rsidR="00501E46" w:rsidRDefault="00501E46" w:rsidP="00501E46">
            <w:pPr>
              <w:spacing w:line="240" w:lineRule="auto"/>
              <w:jc w:val="center"/>
              <w:rPr>
                <w:rFonts w:ascii="Calibri" w:eastAsia="Times New Roman" w:hAnsi="Calibri" w:cs="Calibri"/>
                <w:sz w:val="14"/>
                <w:szCs w:val="14"/>
              </w:rPr>
            </w:pPr>
            <w:r>
              <w:rPr>
                <w:rFonts w:ascii="Calibri" w:hAnsi="Calibri"/>
                <w:sz w:val="14"/>
              </w:rPr>
              <w:t>Pro-forma comparison</w:t>
            </w:r>
            <w:r>
              <w:rPr>
                <w:rFonts w:ascii="Calibri" w:hAnsi="Calibri"/>
                <w:sz w:val="14"/>
                <w:vertAlign w:val="superscript"/>
              </w:rPr>
              <w:t>2</w:t>
            </w:r>
            <w:r>
              <w:rPr>
                <w:rFonts w:ascii="Calibri" w:hAnsi="Calibri"/>
                <w:sz w:val="14"/>
              </w:rPr>
              <w:t xml:space="preserve"> in %</w:t>
            </w:r>
          </w:p>
        </w:tc>
      </w:tr>
      <w:tr w:rsidR="00501E46" w14:paraId="3DC91F3D" w14:textId="77777777" w:rsidTr="00501E46">
        <w:trPr>
          <w:trHeight w:val="300"/>
        </w:trPr>
        <w:tc>
          <w:tcPr>
            <w:tcW w:w="1984" w:type="dxa"/>
            <w:tcBorders>
              <w:top w:val="single" w:sz="4" w:space="0" w:color="auto"/>
              <w:left w:val="nil"/>
              <w:bottom w:val="single" w:sz="8" w:space="0" w:color="707070"/>
              <w:right w:val="nil"/>
            </w:tcBorders>
            <w:noWrap/>
            <w:vAlign w:val="center"/>
            <w:hideMark/>
          </w:tcPr>
          <w:p w14:paraId="5AF5C993" w14:textId="77777777" w:rsidR="00501E46" w:rsidRDefault="00501E46" w:rsidP="00513A7C">
            <w:pPr>
              <w:spacing w:line="240" w:lineRule="auto"/>
              <w:rPr>
                <w:rFonts w:ascii="Calibri" w:eastAsia="Times New Roman" w:hAnsi="Calibri" w:cs="Calibri"/>
                <w:b/>
                <w:bCs/>
                <w:sz w:val="14"/>
                <w:szCs w:val="14"/>
              </w:rPr>
            </w:pPr>
            <w:r>
              <w:rPr>
                <w:rFonts w:ascii="Calibri" w:hAnsi="Calibri"/>
                <w:b/>
                <w:sz w:val="14"/>
              </w:rPr>
              <w:t>E-Mobility</w:t>
            </w:r>
          </w:p>
        </w:tc>
        <w:tc>
          <w:tcPr>
            <w:tcW w:w="163" w:type="dxa"/>
            <w:tcBorders>
              <w:left w:val="nil"/>
              <w:bottom w:val="nil"/>
              <w:right w:val="nil"/>
            </w:tcBorders>
            <w:noWrap/>
            <w:vAlign w:val="bottom"/>
            <w:hideMark/>
          </w:tcPr>
          <w:p w14:paraId="2242DFF3" w14:textId="77777777" w:rsidR="00501E46" w:rsidRDefault="00501E46" w:rsidP="00513A7C">
            <w:pPr>
              <w:spacing w:line="240" w:lineRule="auto"/>
              <w:rPr>
                <w:rFonts w:ascii="Calibri" w:eastAsia="Times New Roman" w:hAnsi="Calibri" w:cs="Calibri"/>
                <w:b/>
                <w:bCs/>
                <w:sz w:val="14"/>
                <w:szCs w:val="14"/>
                <w:lang w:eastAsia="de-DE"/>
              </w:rPr>
            </w:pPr>
          </w:p>
        </w:tc>
        <w:tc>
          <w:tcPr>
            <w:tcW w:w="794" w:type="dxa"/>
            <w:tcBorders>
              <w:top w:val="single" w:sz="4" w:space="0" w:color="auto"/>
              <w:left w:val="nil"/>
              <w:bottom w:val="nil"/>
              <w:right w:val="nil"/>
            </w:tcBorders>
            <w:noWrap/>
            <w:vAlign w:val="bottom"/>
            <w:hideMark/>
          </w:tcPr>
          <w:p w14:paraId="7A96350E" w14:textId="77777777" w:rsidR="00501E46" w:rsidRDefault="00501E46" w:rsidP="00513A7C">
            <w:pPr>
              <w:spacing w:line="240" w:lineRule="auto"/>
              <w:rPr>
                <w:rFonts w:ascii="Times New Roman" w:eastAsia="Times New Roman" w:hAnsi="Times New Roman" w:cs="Times New Roman"/>
                <w:sz w:val="20"/>
                <w:szCs w:val="20"/>
                <w:lang w:eastAsia="de-DE"/>
              </w:rPr>
            </w:pPr>
          </w:p>
        </w:tc>
        <w:tc>
          <w:tcPr>
            <w:tcW w:w="162" w:type="dxa"/>
            <w:tcBorders>
              <w:left w:val="nil"/>
              <w:bottom w:val="nil"/>
              <w:right w:val="nil"/>
            </w:tcBorders>
            <w:noWrap/>
            <w:vAlign w:val="bottom"/>
            <w:hideMark/>
          </w:tcPr>
          <w:p w14:paraId="6F7E5ABC" w14:textId="77777777" w:rsidR="00501E46" w:rsidRDefault="00501E46" w:rsidP="00513A7C">
            <w:pPr>
              <w:spacing w:line="240" w:lineRule="auto"/>
              <w:rPr>
                <w:rFonts w:ascii="Times New Roman" w:eastAsia="Times New Roman" w:hAnsi="Times New Roman" w:cs="Times New Roman"/>
                <w:sz w:val="20"/>
                <w:szCs w:val="20"/>
                <w:lang w:eastAsia="de-DE"/>
              </w:rPr>
            </w:pPr>
          </w:p>
        </w:tc>
        <w:tc>
          <w:tcPr>
            <w:tcW w:w="796" w:type="dxa"/>
            <w:tcBorders>
              <w:top w:val="single" w:sz="4" w:space="0" w:color="auto"/>
              <w:left w:val="nil"/>
              <w:bottom w:val="nil"/>
              <w:right w:val="nil"/>
            </w:tcBorders>
            <w:noWrap/>
            <w:vAlign w:val="bottom"/>
            <w:hideMark/>
          </w:tcPr>
          <w:p w14:paraId="5D6BD9DA" w14:textId="77777777" w:rsidR="00501E46" w:rsidRDefault="00501E46" w:rsidP="00513A7C">
            <w:pPr>
              <w:spacing w:line="240" w:lineRule="auto"/>
              <w:rPr>
                <w:rFonts w:ascii="Times New Roman" w:eastAsia="Times New Roman" w:hAnsi="Times New Roman" w:cs="Times New Roman"/>
                <w:sz w:val="20"/>
                <w:szCs w:val="20"/>
                <w:lang w:eastAsia="de-DE"/>
              </w:rPr>
            </w:pPr>
          </w:p>
        </w:tc>
        <w:tc>
          <w:tcPr>
            <w:tcW w:w="161" w:type="dxa"/>
            <w:tcBorders>
              <w:top w:val="nil"/>
              <w:left w:val="nil"/>
              <w:bottom w:val="nil"/>
              <w:right w:val="nil"/>
            </w:tcBorders>
          </w:tcPr>
          <w:p w14:paraId="0D916E45" w14:textId="77777777" w:rsidR="00501E46" w:rsidRDefault="00501E46" w:rsidP="00513A7C">
            <w:pPr>
              <w:spacing w:line="240" w:lineRule="auto"/>
              <w:rPr>
                <w:rFonts w:ascii="Times New Roman" w:eastAsia="Times New Roman" w:hAnsi="Times New Roman" w:cs="Times New Roman"/>
                <w:sz w:val="20"/>
                <w:szCs w:val="20"/>
                <w:lang w:eastAsia="de-DE"/>
              </w:rPr>
            </w:pPr>
          </w:p>
        </w:tc>
        <w:tc>
          <w:tcPr>
            <w:tcW w:w="1752" w:type="dxa"/>
            <w:tcBorders>
              <w:top w:val="single" w:sz="4" w:space="0" w:color="auto"/>
              <w:left w:val="nil"/>
              <w:bottom w:val="nil"/>
            </w:tcBorders>
          </w:tcPr>
          <w:p w14:paraId="1F3FFA07" w14:textId="77777777" w:rsidR="00501E46" w:rsidRDefault="00501E46" w:rsidP="00513A7C">
            <w:pPr>
              <w:spacing w:line="240" w:lineRule="auto"/>
              <w:rPr>
                <w:rFonts w:ascii="Times New Roman" w:eastAsia="Times New Roman" w:hAnsi="Times New Roman" w:cs="Times New Roman"/>
                <w:sz w:val="20"/>
                <w:szCs w:val="20"/>
                <w:lang w:eastAsia="de-DE"/>
              </w:rPr>
            </w:pPr>
          </w:p>
        </w:tc>
      </w:tr>
      <w:tr w:rsidR="00501E46" w14:paraId="309B0892" w14:textId="77777777" w:rsidTr="00501E46">
        <w:trPr>
          <w:trHeight w:val="300"/>
        </w:trPr>
        <w:tc>
          <w:tcPr>
            <w:tcW w:w="1984" w:type="dxa"/>
            <w:tcBorders>
              <w:top w:val="nil"/>
              <w:left w:val="nil"/>
              <w:bottom w:val="single" w:sz="8" w:space="0" w:color="707070"/>
              <w:right w:val="nil"/>
            </w:tcBorders>
            <w:noWrap/>
            <w:vAlign w:val="center"/>
            <w:hideMark/>
          </w:tcPr>
          <w:p w14:paraId="67C049B0" w14:textId="77777777" w:rsidR="00501E46" w:rsidRDefault="00501E46" w:rsidP="00513A7C">
            <w:pPr>
              <w:spacing w:line="240" w:lineRule="auto"/>
              <w:rPr>
                <w:rFonts w:ascii="Calibri" w:eastAsia="Times New Roman" w:hAnsi="Calibri" w:cs="Calibri"/>
                <w:sz w:val="14"/>
                <w:szCs w:val="14"/>
              </w:rPr>
            </w:pPr>
            <w:r>
              <w:rPr>
                <w:rFonts w:ascii="Calibri" w:hAnsi="Calibri"/>
                <w:sz w:val="14"/>
              </w:rPr>
              <w:t>Revenue</w:t>
            </w:r>
          </w:p>
        </w:tc>
        <w:tc>
          <w:tcPr>
            <w:tcW w:w="163" w:type="dxa"/>
            <w:tcBorders>
              <w:top w:val="nil"/>
              <w:left w:val="nil"/>
              <w:bottom w:val="nil"/>
              <w:right w:val="nil"/>
            </w:tcBorders>
            <w:noWrap/>
            <w:vAlign w:val="bottom"/>
            <w:hideMark/>
          </w:tcPr>
          <w:p w14:paraId="56D7DFAB" w14:textId="77777777" w:rsidR="00501E46" w:rsidRDefault="00501E46" w:rsidP="00513A7C">
            <w:pPr>
              <w:spacing w:line="240" w:lineRule="auto"/>
              <w:rPr>
                <w:rFonts w:ascii="Calibri" w:eastAsia="Times New Roman" w:hAnsi="Calibri" w:cs="Calibri"/>
                <w:sz w:val="14"/>
                <w:szCs w:val="14"/>
                <w:lang w:eastAsia="de-DE"/>
              </w:rPr>
            </w:pPr>
          </w:p>
        </w:tc>
        <w:tc>
          <w:tcPr>
            <w:tcW w:w="794" w:type="dxa"/>
            <w:tcBorders>
              <w:top w:val="nil"/>
              <w:left w:val="nil"/>
              <w:bottom w:val="single" w:sz="8" w:space="0" w:color="707070"/>
              <w:right w:val="nil"/>
            </w:tcBorders>
            <w:noWrap/>
            <w:vAlign w:val="center"/>
            <w:hideMark/>
          </w:tcPr>
          <w:p w14:paraId="32AC9131" w14:textId="7284AAB9" w:rsidR="00501E46" w:rsidRPr="00647DAD" w:rsidRDefault="00D20149" w:rsidP="00513A7C">
            <w:pPr>
              <w:spacing w:line="240" w:lineRule="auto"/>
              <w:jc w:val="right"/>
              <w:rPr>
                <w:rFonts w:ascii="Calibri" w:eastAsia="Times New Roman" w:hAnsi="Calibri" w:cs="Calibri"/>
                <w:color w:val="00B050"/>
                <w:sz w:val="14"/>
                <w:szCs w:val="14"/>
              </w:rPr>
            </w:pPr>
            <w:r>
              <w:rPr>
                <w:rFonts w:ascii="Calibri" w:hAnsi="Calibri"/>
                <w:color w:val="00B050"/>
                <w:sz w:val="14"/>
              </w:rPr>
              <w:t>5,015</w:t>
            </w:r>
          </w:p>
        </w:tc>
        <w:tc>
          <w:tcPr>
            <w:tcW w:w="162" w:type="dxa"/>
            <w:tcBorders>
              <w:top w:val="nil"/>
              <w:left w:val="nil"/>
              <w:bottom w:val="nil"/>
              <w:right w:val="nil"/>
            </w:tcBorders>
            <w:noWrap/>
            <w:vAlign w:val="bottom"/>
            <w:hideMark/>
          </w:tcPr>
          <w:p w14:paraId="214AD820" w14:textId="77777777" w:rsidR="00501E46" w:rsidRPr="00647DAD" w:rsidRDefault="00501E46" w:rsidP="00513A7C">
            <w:pPr>
              <w:spacing w:line="240" w:lineRule="auto"/>
              <w:jc w:val="right"/>
              <w:rPr>
                <w:rFonts w:ascii="Calibri" w:eastAsia="Times New Roman" w:hAnsi="Calibri" w:cs="Calibri"/>
                <w:color w:val="00B050"/>
                <w:sz w:val="14"/>
                <w:szCs w:val="14"/>
                <w:lang w:eastAsia="de-DE"/>
              </w:rPr>
            </w:pPr>
          </w:p>
        </w:tc>
        <w:tc>
          <w:tcPr>
            <w:tcW w:w="796" w:type="dxa"/>
            <w:tcBorders>
              <w:top w:val="nil"/>
              <w:left w:val="nil"/>
              <w:bottom w:val="single" w:sz="8" w:space="0" w:color="707070"/>
              <w:right w:val="nil"/>
            </w:tcBorders>
            <w:noWrap/>
            <w:vAlign w:val="bottom"/>
            <w:hideMark/>
          </w:tcPr>
          <w:p w14:paraId="4F51F680" w14:textId="77D5F5D5" w:rsidR="00501E46" w:rsidRPr="00647DAD" w:rsidRDefault="00D20149" w:rsidP="00513A7C">
            <w:pPr>
              <w:spacing w:line="240" w:lineRule="auto"/>
              <w:jc w:val="right"/>
              <w:rPr>
                <w:rFonts w:ascii="Calibri" w:eastAsia="Times New Roman" w:hAnsi="Calibri" w:cs="Calibri"/>
                <w:sz w:val="14"/>
                <w:szCs w:val="14"/>
              </w:rPr>
            </w:pPr>
            <w:r>
              <w:rPr>
                <w:rFonts w:ascii="Calibri" w:hAnsi="Calibri"/>
                <w:sz w:val="14"/>
              </w:rPr>
              <w:t>4,816</w:t>
            </w:r>
          </w:p>
        </w:tc>
        <w:tc>
          <w:tcPr>
            <w:tcW w:w="161" w:type="dxa"/>
            <w:tcBorders>
              <w:top w:val="nil"/>
              <w:left w:val="nil"/>
              <w:right w:val="nil"/>
            </w:tcBorders>
          </w:tcPr>
          <w:p w14:paraId="166A7328" w14:textId="77777777" w:rsidR="00501E46" w:rsidRPr="00647DAD" w:rsidRDefault="00501E46" w:rsidP="00513A7C">
            <w:pPr>
              <w:spacing w:line="240" w:lineRule="auto"/>
              <w:jc w:val="right"/>
              <w:rPr>
                <w:rFonts w:ascii="Calibri" w:eastAsia="Times New Roman" w:hAnsi="Calibri" w:cs="Calibri"/>
                <w:sz w:val="14"/>
                <w:szCs w:val="14"/>
                <w:lang w:eastAsia="de-DE"/>
              </w:rPr>
            </w:pPr>
          </w:p>
        </w:tc>
        <w:tc>
          <w:tcPr>
            <w:tcW w:w="1752" w:type="dxa"/>
            <w:tcBorders>
              <w:top w:val="nil"/>
              <w:left w:val="nil"/>
              <w:bottom w:val="single" w:sz="8" w:space="0" w:color="707070"/>
              <w:right w:val="nil"/>
            </w:tcBorders>
          </w:tcPr>
          <w:p w14:paraId="0CD0732B" w14:textId="3206372D" w:rsidR="00501E46" w:rsidRPr="00647DAD" w:rsidRDefault="00D20149" w:rsidP="00513A7C">
            <w:pPr>
              <w:spacing w:line="240" w:lineRule="auto"/>
              <w:jc w:val="right"/>
              <w:rPr>
                <w:rFonts w:ascii="Calibri" w:eastAsia="Times New Roman" w:hAnsi="Calibri" w:cs="Calibri"/>
                <w:sz w:val="14"/>
                <w:szCs w:val="14"/>
              </w:rPr>
            </w:pPr>
            <w:r>
              <w:rPr>
                <w:rFonts w:ascii="Calibri" w:hAnsi="Calibri"/>
                <w:sz w:val="14"/>
              </w:rPr>
              <w:t>4.1</w:t>
            </w:r>
          </w:p>
        </w:tc>
      </w:tr>
      <w:tr w:rsidR="00501E46" w14:paraId="37414DDC" w14:textId="77777777" w:rsidTr="00501E46">
        <w:trPr>
          <w:trHeight w:val="300"/>
        </w:trPr>
        <w:tc>
          <w:tcPr>
            <w:tcW w:w="1984" w:type="dxa"/>
            <w:tcBorders>
              <w:top w:val="nil"/>
              <w:left w:val="nil"/>
              <w:bottom w:val="single" w:sz="8" w:space="0" w:color="707070"/>
              <w:right w:val="nil"/>
            </w:tcBorders>
            <w:noWrap/>
            <w:vAlign w:val="center"/>
            <w:hideMark/>
          </w:tcPr>
          <w:p w14:paraId="46A48A74" w14:textId="77777777" w:rsidR="00501E46" w:rsidRDefault="00501E46" w:rsidP="00513A7C">
            <w:pPr>
              <w:spacing w:line="240" w:lineRule="auto"/>
              <w:rPr>
                <w:rFonts w:ascii="Calibri" w:eastAsia="Times New Roman" w:hAnsi="Calibri" w:cs="Calibri"/>
                <w:sz w:val="12"/>
                <w:szCs w:val="12"/>
              </w:rPr>
            </w:pPr>
            <w:r>
              <w:rPr>
                <w:rFonts w:ascii="Calibri" w:hAnsi="Calibri"/>
                <w:sz w:val="12"/>
              </w:rPr>
              <w:t xml:space="preserve">• at constant currency </w:t>
            </w:r>
          </w:p>
        </w:tc>
        <w:tc>
          <w:tcPr>
            <w:tcW w:w="163" w:type="dxa"/>
            <w:tcBorders>
              <w:top w:val="nil"/>
              <w:left w:val="nil"/>
              <w:bottom w:val="nil"/>
              <w:right w:val="nil"/>
            </w:tcBorders>
            <w:noWrap/>
            <w:vAlign w:val="bottom"/>
            <w:hideMark/>
          </w:tcPr>
          <w:p w14:paraId="31604D92" w14:textId="77777777" w:rsidR="00501E46" w:rsidRDefault="00501E46" w:rsidP="00513A7C">
            <w:pPr>
              <w:spacing w:line="240" w:lineRule="auto"/>
              <w:rPr>
                <w:rFonts w:ascii="Calibri" w:eastAsia="Times New Roman" w:hAnsi="Calibri" w:cs="Calibri"/>
                <w:sz w:val="12"/>
                <w:szCs w:val="12"/>
                <w:lang w:eastAsia="de-DE"/>
              </w:rPr>
            </w:pPr>
          </w:p>
        </w:tc>
        <w:tc>
          <w:tcPr>
            <w:tcW w:w="794" w:type="dxa"/>
            <w:tcBorders>
              <w:top w:val="nil"/>
              <w:left w:val="nil"/>
              <w:bottom w:val="single" w:sz="8" w:space="0" w:color="707070"/>
              <w:right w:val="nil"/>
            </w:tcBorders>
            <w:noWrap/>
            <w:vAlign w:val="center"/>
            <w:hideMark/>
          </w:tcPr>
          <w:p w14:paraId="568CB42D" w14:textId="77777777" w:rsidR="00501E46" w:rsidRPr="00647DAD" w:rsidRDefault="00501E46" w:rsidP="00513A7C">
            <w:pPr>
              <w:spacing w:line="240" w:lineRule="auto"/>
              <w:jc w:val="right"/>
              <w:rPr>
                <w:rFonts w:ascii="Calibri" w:eastAsia="Times New Roman" w:hAnsi="Calibri" w:cs="Calibri"/>
                <w:color w:val="00B050"/>
                <w:sz w:val="12"/>
                <w:szCs w:val="12"/>
              </w:rPr>
            </w:pPr>
            <w:r>
              <w:rPr>
                <w:rFonts w:ascii="Calibri" w:hAnsi="Calibri"/>
                <w:color w:val="00B050"/>
                <w:sz w:val="12"/>
              </w:rPr>
              <w:t> </w:t>
            </w:r>
          </w:p>
        </w:tc>
        <w:tc>
          <w:tcPr>
            <w:tcW w:w="162" w:type="dxa"/>
            <w:tcBorders>
              <w:top w:val="nil"/>
              <w:left w:val="nil"/>
              <w:bottom w:val="nil"/>
              <w:right w:val="nil"/>
            </w:tcBorders>
            <w:noWrap/>
            <w:vAlign w:val="bottom"/>
            <w:hideMark/>
          </w:tcPr>
          <w:p w14:paraId="6EE90FE4" w14:textId="77777777" w:rsidR="00501E46" w:rsidRPr="00647DAD" w:rsidRDefault="00501E46" w:rsidP="00513A7C">
            <w:pPr>
              <w:spacing w:line="240" w:lineRule="auto"/>
              <w:jc w:val="right"/>
              <w:rPr>
                <w:rFonts w:ascii="Calibri" w:eastAsia="Times New Roman" w:hAnsi="Calibri" w:cs="Calibri"/>
                <w:color w:val="00B050"/>
                <w:sz w:val="12"/>
                <w:szCs w:val="12"/>
                <w:lang w:eastAsia="de-DE"/>
              </w:rPr>
            </w:pPr>
          </w:p>
        </w:tc>
        <w:tc>
          <w:tcPr>
            <w:tcW w:w="796" w:type="dxa"/>
            <w:tcBorders>
              <w:top w:val="single" w:sz="8" w:space="0" w:color="707070"/>
              <w:left w:val="nil"/>
              <w:bottom w:val="single" w:sz="8" w:space="0" w:color="707070"/>
              <w:right w:val="nil"/>
            </w:tcBorders>
            <w:noWrap/>
            <w:vAlign w:val="bottom"/>
            <w:hideMark/>
          </w:tcPr>
          <w:p w14:paraId="7E138D18" w14:textId="77777777" w:rsidR="00501E46" w:rsidRPr="00647DAD" w:rsidRDefault="00501E46" w:rsidP="00513A7C">
            <w:pPr>
              <w:spacing w:line="240" w:lineRule="auto"/>
              <w:jc w:val="right"/>
              <w:rPr>
                <w:rFonts w:ascii="Calibri" w:eastAsia="Times New Roman" w:hAnsi="Calibri" w:cs="Calibri"/>
                <w:sz w:val="12"/>
                <w:szCs w:val="12"/>
                <w:lang w:eastAsia="de-DE"/>
              </w:rPr>
            </w:pPr>
          </w:p>
        </w:tc>
        <w:tc>
          <w:tcPr>
            <w:tcW w:w="161" w:type="dxa"/>
            <w:tcBorders>
              <w:top w:val="nil"/>
              <w:left w:val="nil"/>
              <w:right w:val="nil"/>
            </w:tcBorders>
          </w:tcPr>
          <w:p w14:paraId="4F18C7E1" w14:textId="77777777" w:rsidR="00501E46" w:rsidRPr="00647DAD" w:rsidRDefault="00501E46" w:rsidP="00513A7C">
            <w:pPr>
              <w:spacing w:line="240" w:lineRule="auto"/>
              <w:jc w:val="right"/>
              <w:rPr>
                <w:rFonts w:ascii="Calibri" w:eastAsia="Times New Roman" w:hAnsi="Calibri" w:cs="Calibri"/>
                <w:sz w:val="12"/>
                <w:szCs w:val="12"/>
                <w:lang w:eastAsia="de-DE"/>
              </w:rPr>
            </w:pPr>
          </w:p>
        </w:tc>
        <w:tc>
          <w:tcPr>
            <w:tcW w:w="1752" w:type="dxa"/>
            <w:tcBorders>
              <w:top w:val="single" w:sz="8" w:space="0" w:color="707070"/>
              <w:left w:val="nil"/>
              <w:bottom w:val="single" w:sz="8" w:space="0" w:color="707070"/>
              <w:right w:val="nil"/>
            </w:tcBorders>
          </w:tcPr>
          <w:p w14:paraId="04B8EDD1" w14:textId="5282C74C" w:rsidR="00501E46" w:rsidRPr="00647DAD" w:rsidRDefault="00501E46" w:rsidP="00513A7C">
            <w:pPr>
              <w:spacing w:line="240" w:lineRule="auto"/>
              <w:jc w:val="right"/>
              <w:rPr>
                <w:rFonts w:ascii="Calibri" w:eastAsia="Times New Roman" w:hAnsi="Calibri" w:cs="Calibri"/>
                <w:sz w:val="12"/>
                <w:szCs w:val="12"/>
              </w:rPr>
            </w:pPr>
            <w:r>
              <w:rPr>
                <w:rFonts w:ascii="Calibri" w:hAnsi="Calibri"/>
                <w:sz w:val="12"/>
              </w:rPr>
              <w:t>7.0</w:t>
            </w:r>
          </w:p>
        </w:tc>
      </w:tr>
      <w:tr w:rsidR="00501E46" w14:paraId="55869015" w14:textId="77777777" w:rsidTr="00501E46">
        <w:trPr>
          <w:trHeight w:val="300"/>
        </w:trPr>
        <w:tc>
          <w:tcPr>
            <w:tcW w:w="1984" w:type="dxa"/>
            <w:tcBorders>
              <w:top w:val="nil"/>
              <w:left w:val="nil"/>
              <w:bottom w:val="single" w:sz="8" w:space="0" w:color="707070"/>
              <w:right w:val="nil"/>
            </w:tcBorders>
            <w:noWrap/>
            <w:vAlign w:val="center"/>
            <w:hideMark/>
          </w:tcPr>
          <w:p w14:paraId="5F54D327" w14:textId="77777777" w:rsidR="00501E46" w:rsidRDefault="00501E46" w:rsidP="00513A7C">
            <w:pPr>
              <w:spacing w:line="240" w:lineRule="auto"/>
              <w:rPr>
                <w:rFonts w:ascii="Calibri" w:eastAsia="Times New Roman" w:hAnsi="Calibri" w:cs="Calibri"/>
                <w:sz w:val="14"/>
                <w:szCs w:val="14"/>
              </w:rPr>
            </w:pPr>
            <w:r>
              <w:rPr>
                <w:rFonts w:ascii="Calibri" w:hAnsi="Calibri"/>
                <w:sz w:val="14"/>
              </w:rPr>
              <w:t>EBIT before special items</w:t>
            </w:r>
            <w:r>
              <w:rPr>
                <w:rFonts w:ascii="Calibri" w:hAnsi="Calibri"/>
                <w:sz w:val="14"/>
                <w:vertAlign w:val="superscript"/>
              </w:rPr>
              <w:t>1</w:t>
            </w:r>
          </w:p>
        </w:tc>
        <w:tc>
          <w:tcPr>
            <w:tcW w:w="163" w:type="dxa"/>
            <w:tcBorders>
              <w:top w:val="nil"/>
              <w:left w:val="nil"/>
              <w:bottom w:val="nil"/>
              <w:right w:val="nil"/>
            </w:tcBorders>
            <w:noWrap/>
            <w:vAlign w:val="bottom"/>
            <w:hideMark/>
          </w:tcPr>
          <w:p w14:paraId="54355E07" w14:textId="77777777" w:rsidR="00501E46" w:rsidRDefault="00501E46" w:rsidP="00513A7C">
            <w:pPr>
              <w:spacing w:line="240" w:lineRule="auto"/>
              <w:rPr>
                <w:rFonts w:ascii="Calibri" w:eastAsia="Times New Roman" w:hAnsi="Calibri" w:cs="Calibri"/>
                <w:sz w:val="14"/>
                <w:szCs w:val="14"/>
                <w:lang w:eastAsia="de-DE"/>
              </w:rPr>
            </w:pPr>
          </w:p>
        </w:tc>
        <w:tc>
          <w:tcPr>
            <w:tcW w:w="794" w:type="dxa"/>
            <w:tcBorders>
              <w:top w:val="nil"/>
              <w:left w:val="nil"/>
              <w:bottom w:val="single" w:sz="8" w:space="0" w:color="707070"/>
              <w:right w:val="nil"/>
            </w:tcBorders>
            <w:noWrap/>
            <w:vAlign w:val="center"/>
            <w:hideMark/>
          </w:tcPr>
          <w:p w14:paraId="1E650ABC" w14:textId="22E82933" w:rsidR="00501E46" w:rsidRPr="00647DAD" w:rsidRDefault="00501E46" w:rsidP="00513A7C">
            <w:pPr>
              <w:spacing w:line="240" w:lineRule="auto"/>
              <w:jc w:val="right"/>
              <w:rPr>
                <w:rFonts w:ascii="Calibri" w:eastAsia="Times New Roman" w:hAnsi="Calibri" w:cs="Calibri"/>
                <w:color w:val="00B050"/>
                <w:sz w:val="14"/>
                <w:szCs w:val="14"/>
              </w:rPr>
            </w:pPr>
            <w:r>
              <w:rPr>
                <w:rFonts w:ascii="Calibri" w:hAnsi="Calibri"/>
                <w:color w:val="00B050"/>
                <w:sz w:val="14"/>
              </w:rPr>
              <w:t>-805</w:t>
            </w:r>
          </w:p>
        </w:tc>
        <w:tc>
          <w:tcPr>
            <w:tcW w:w="162" w:type="dxa"/>
            <w:tcBorders>
              <w:top w:val="nil"/>
              <w:left w:val="nil"/>
              <w:bottom w:val="nil"/>
              <w:right w:val="nil"/>
            </w:tcBorders>
            <w:noWrap/>
            <w:vAlign w:val="bottom"/>
            <w:hideMark/>
          </w:tcPr>
          <w:p w14:paraId="2559A01F" w14:textId="77777777" w:rsidR="00501E46" w:rsidRPr="00647DAD" w:rsidRDefault="00501E46" w:rsidP="00513A7C">
            <w:pPr>
              <w:spacing w:line="240" w:lineRule="auto"/>
              <w:jc w:val="right"/>
              <w:rPr>
                <w:rFonts w:ascii="Calibri" w:eastAsia="Times New Roman" w:hAnsi="Calibri" w:cs="Calibri"/>
                <w:color w:val="00B050"/>
                <w:sz w:val="14"/>
                <w:szCs w:val="14"/>
                <w:lang w:eastAsia="de-DE"/>
              </w:rPr>
            </w:pPr>
          </w:p>
        </w:tc>
        <w:tc>
          <w:tcPr>
            <w:tcW w:w="796" w:type="dxa"/>
            <w:tcBorders>
              <w:top w:val="single" w:sz="8" w:space="0" w:color="707070"/>
              <w:left w:val="nil"/>
              <w:bottom w:val="single" w:sz="8" w:space="0" w:color="707070"/>
              <w:right w:val="nil"/>
            </w:tcBorders>
            <w:noWrap/>
            <w:vAlign w:val="center"/>
            <w:hideMark/>
          </w:tcPr>
          <w:p w14:paraId="7A608639" w14:textId="6D50E6E2" w:rsidR="00501E46" w:rsidRPr="00647DAD" w:rsidRDefault="00501E46" w:rsidP="00513A7C">
            <w:pPr>
              <w:spacing w:line="240" w:lineRule="auto"/>
              <w:jc w:val="right"/>
              <w:rPr>
                <w:rFonts w:ascii="Calibri" w:eastAsia="Times New Roman" w:hAnsi="Calibri" w:cs="Calibri"/>
                <w:sz w:val="14"/>
                <w:szCs w:val="14"/>
              </w:rPr>
            </w:pPr>
            <w:r>
              <w:rPr>
                <w:rFonts w:ascii="Calibri" w:hAnsi="Calibri"/>
                <w:sz w:val="14"/>
              </w:rPr>
              <w:t>-1,066</w:t>
            </w:r>
          </w:p>
        </w:tc>
        <w:tc>
          <w:tcPr>
            <w:tcW w:w="161" w:type="dxa"/>
            <w:tcBorders>
              <w:top w:val="nil"/>
              <w:left w:val="nil"/>
              <w:right w:val="nil"/>
            </w:tcBorders>
          </w:tcPr>
          <w:p w14:paraId="640A250D" w14:textId="77777777" w:rsidR="00501E46" w:rsidRPr="00647DAD" w:rsidRDefault="00501E46" w:rsidP="00513A7C">
            <w:pPr>
              <w:spacing w:line="240" w:lineRule="auto"/>
              <w:jc w:val="right"/>
              <w:rPr>
                <w:rFonts w:ascii="Calibri" w:eastAsia="Times New Roman" w:hAnsi="Calibri" w:cs="Calibri"/>
                <w:sz w:val="14"/>
                <w:szCs w:val="14"/>
                <w:lang w:eastAsia="de-DE"/>
              </w:rPr>
            </w:pPr>
          </w:p>
        </w:tc>
        <w:tc>
          <w:tcPr>
            <w:tcW w:w="1752" w:type="dxa"/>
            <w:tcBorders>
              <w:top w:val="single" w:sz="8" w:space="0" w:color="707070"/>
              <w:left w:val="nil"/>
              <w:bottom w:val="single" w:sz="8" w:space="0" w:color="707070"/>
              <w:right w:val="nil"/>
            </w:tcBorders>
          </w:tcPr>
          <w:p w14:paraId="743C56BC" w14:textId="5354A1DD" w:rsidR="00501E46" w:rsidRPr="00647DAD" w:rsidRDefault="00501E46" w:rsidP="00513A7C">
            <w:pPr>
              <w:spacing w:line="240" w:lineRule="auto"/>
              <w:jc w:val="right"/>
              <w:rPr>
                <w:rFonts w:ascii="Calibri" w:eastAsia="Times New Roman" w:hAnsi="Calibri" w:cs="Calibri"/>
                <w:sz w:val="14"/>
                <w:szCs w:val="14"/>
              </w:rPr>
            </w:pPr>
            <w:r>
              <w:rPr>
                <w:rFonts w:ascii="Calibri" w:hAnsi="Calibri"/>
                <w:sz w:val="14"/>
              </w:rPr>
              <w:t>-24.5</w:t>
            </w:r>
          </w:p>
        </w:tc>
      </w:tr>
      <w:tr w:rsidR="00501E46" w14:paraId="4AC02C4A" w14:textId="77777777" w:rsidTr="00501E46">
        <w:trPr>
          <w:trHeight w:val="300"/>
        </w:trPr>
        <w:tc>
          <w:tcPr>
            <w:tcW w:w="1984" w:type="dxa"/>
            <w:tcBorders>
              <w:top w:val="nil"/>
              <w:left w:val="nil"/>
              <w:bottom w:val="single" w:sz="4" w:space="0" w:color="auto"/>
              <w:right w:val="nil"/>
            </w:tcBorders>
            <w:vAlign w:val="center"/>
            <w:hideMark/>
          </w:tcPr>
          <w:p w14:paraId="26526892" w14:textId="77777777" w:rsidR="00501E46" w:rsidRDefault="00501E46" w:rsidP="00513A7C">
            <w:pPr>
              <w:spacing w:line="240" w:lineRule="auto"/>
              <w:rPr>
                <w:rFonts w:ascii="Calibri" w:eastAsia="Times New Roman" w:hAnsi="Calibri" w:cs="Calibri"/>
                <w:sz w:val="12"/>
                <w:szCs w:val="12"/>
              </w:rPr>
            </w:pPr>
            <w:r>
              <w:rPr>
                <w:rFonts w:ascii="Calibri" w:hAnsi="Calibri"/>
                <w:sz w:val="12"/>
              </w:rPr>
              <w:t>• in % of revenue</w:t>
            </w:r>
          </w:p>
        </w:tc>
        <w:tc>
          <w:tcPr>
            <w:tcW w:w="163" w:type="dxa"/>
            <w:tcBorders>
              <w:top w:val="nil"/>
              <w:left w:val="nil"/>
              <w:bottom w:val="nil"/>
              <w:right w:val="nil"/>
            </w:tcBorders>
            <w:noWrap/>
            <w:vAlign w:val="bottom"/>
            <w:hideMark/>
          </w:tcPr>
          <w:p w14:paraId="428274F1" w14:textId="77777777" w:rsidR="00501E46" w:rsidRDefault="00501E46" w:rsidP="00513A7C">
            <w:pPr>
              <w:spacing w:line="240" w:lineRule="auto"/>
              <w:rPr>
                <w:rFonts w:ascii="Calibri" w:eastAsia="Times New Roman" w:hAnsi="Calibri" w:cs="Calibri"/>
                <w:sz w:val="12"/>
                <w:szCs w:val="12"/>
                <w:lang w:eastAsia="de-DE"/>
              </w:rPr>
            </w:pPr>
          </w:p>
        </w:tc>
        <w:tc>
          <w:tcPr>
            <w:tcW w:w="794" w:type="dxa"/>
            <w:tcBorders>
              <w:top w:val="nil"/>
              <w:left w:val="nil"/>
              <w:bottom w:val="single" w:sz="4" w:space="0" w:color="auto"/>
              <w:right w:val="nil"/>
            </w:tcBorders>
            <w:noWrap/>
            <w:vAlign w:val="center"/>
            <w:hideMark/>
          </w:tcPr>
          <w:p w14:paraId="21CD1B78" w14:textId="41CFF018" w:rsidR="00501E46" w:rsidRPr="00647DAD" w:rsidRDefault="00501E46" w:rsidP="00513A7C">
            <w:pPr>
              <w:spacing w:line="240" w:lineRule="auto"/>
              <w:jc w:val="right"/>
              <w:rPr>
                <w:rFonts w:ascii="Calibri" w:eastAsia="Times New Roman" w:hAnsi="Calibri" w:cs="Calibri"/>
                <w:color w:val="00B050"/>
                <w:sz w:val="12"/>
                <w:szCs w:val="12"/>
              </w:rPr>
            </w:pPr>
            <w:r>
              <w:rPr>
                <w:rFonts w:ascii="Calibri" w:hAnsi="Calibri"/>
                <w:color w:val="00B050"/>
                <w:sz w:val="12"/>
              </w:rPr>
              <w:t>-16.0</w:t>
            </w:r>
          </w:p>
        </w:tc>
        <w:tc>
          <w:tcPr>
            <w:tcW w:w="162" w:type="dxa"/>
            <w:tcBorders>
              <w:top w:val="nil"/>
              <w:left w:val="nil"/>
              <w:bottom w:val="nil"/>
              <w:right w:val="nil"/>
            </w:tcBorders>
            <w:noWrap/>
            <w:vAlign w:val="bottom"/>
            <w:hideMark/>
          </w:tcPr>
          <w:p w14:paraId="54A37CDF" w14:textId="77777777" w:rsidR="00501E46" w:rsidRPr="00647DAD" w:rsidRDefault="00501E46" w:rsidP="00513A7C">
            <w:pPr>
              <w:spacing w:line="240" w:lineRule="auto"/>
              <w:jc w:val="right"/>
              <w:rPr>
                <w:rFonts w:ascii="Calibri" w:eastAsia="Times New Roman" w:hAnsi="Calibri" w:cs="Calibri"/>
                <w:color w:val="00B050"/>
                <w:sz w:val="12"/>
                <w:szCs w:val="12"/>
                <w:lang w:eastAsia="de-DE"/>
              </w:rPr>
            </w:pPr>
          </w:p>
        </w:tc>
        <w:tc>
          <w:tcPr>
            <w:tcW w:w="796" w:type="dxa"/>
            <w:tcBorders>
              <w:top w:val="nil"/>
              <w:left w:val="nil"/>
              <w:bottom w:val="single" w:sz="4" w:space="0" w:color="auto"/>
              <w:right w:val="nil"/>
            </w:tcBorders>
            <w:noWrap/>
            <w:vAlign w:val="center"/>
            <w:hideMark/>
          </w:tcPr>
          <w:p w14:paraId="1EFA4C48" w14:textId="1CAE99EC" w:rsidR="00501E46" w:rsidRPr="00647DAD" w:rsidRDefault="00501E46" w:rsidP="00513A7C">
            <w:pPr>
              <w:spacing w:line="240" w:lineRule="auto"/>
              <w:jc w:val="right"/>
              <w:rPr>
                <w:rFonts w:ascii="Calibri" w:eastAsia="Times New Roman" w:hAnsi="Calibri" w:cs="Calibri"/>
                <w:sz w:val="12"/>
                <w:szCs w:val="12"/>
              </w:rPr>
            </w:pPr>
            <w:r>
              <w:rPr>
                <w:rFonts w:ascii="Calibri" w:hAnsi="Calibri"/>
                <w:sz w:val="12"/>
              </w:rPr>
              <w:t>-22.1</w:t>
            </w:r>
          </w:p>
        </w:tc>
        <w:tc>
          <w:tcPr>
            <w:tcW w:w="161" w:type="dxa"/>
            <w:tcBorders>
              <w:top w:val="nil"/>
              <w:left w:val="nil"/>
              <w:bottom w:val="nil"/>
              <w:right w:val="nil"/>
            </w:tcBorders>
          </w:tcPr>
          <w:p w14:paraId="034D34C3" w14:textId="77777777" w:rsidR="00501E46" w:rsidRPr="00647DAD" w:rsidRDefault="00501E46" w:rsidP="00513A7C">
            <w:pPr>
              <w:spacing w:line="240" w:lineRule="auto"/>
              <w:jc w:val="right"/>
              <w:rPr>
                <w:rFonts w:ascii="Calibri" w:eastAsia="Times New Roman" w:hAnsi="Calibri" w:cs="Calibri"/>
                <w:sz w:val="12"/>
                <w:szCs w:val="12"/>
                <w:lang w:eastAsia="de-DE"/>
              </w:rPr>
            </w:pPr>
          </w:p>
        </w:tc>
        <w:tc>
          <w:tcPr>
            <w:tcW w:w="1752" w:type="dxa"/>
            <w:tcBorders>
              <w:top w:val="nil"/>
              <w:left w:val="nil"/>
              <w:bottom w:val="single" w:sz="4" w:space="0" w:color="auto"/>
              <w:right w:val="nil"/>
            </w:tcBorders>
            <w:vAlign w:val="center"/>
          </w:tcPr>
          <w:p w14:paraId="43EDBEB5" w14:textId="77777777" w:rsidR="00501E46" w:rsidRPr="00647DAD" w:rsidRDefault="00501E46" w:rsidP="00513A7C">
            <w:pPr>
              <w:spacing w:line="240" w:lineRule="auto"/>
              <w:jc w:val="right"/>
              <w:rPr>
                <w:rFonts w:ascii="Calibri" w:eastAsia="Times New Roman" w:hAnsi="Calibri" w:cs="Calibri"/>
                <w:sz w:val="12"/>
                <w:szCs w:val="12"/>
              </w:rPr>
            </w:pPr>
            <w:r>
              <w:rPr>
                <w:rFonts w:ascii="Calibri" w:hAnsi="Calibri"/>
                <w:sz w:val="12"/>
              </w:rPr>
              <w:t>-</w:t>
            </w:r>
          </w:p>
        </w:tc>
      </w:tr>
      <w:tr w:rsidR="00501E46" w14:paraId="2D8CACFB" w14:textId="77777777" w:rsidTr="00501E46">
        <w:trPr>
          <w:trHeight w:val="300"/>
        </w:trPr>
        <w:tc>
          <w:tcPr>
            <w:tcW w:w="1984" w:type="dxa"/>
            <w:tcBorders>
              <w:top w:val="single" w:sz="4" w:space="0" w:color="auto"/>
              <w:left w:val="nil"/>
              <w:bottom w:val="single" w:sz="8" w:space="0" w:color="707070"/>
              <w:right w:val="nil"/>
            </w:tcBorders>
            <w:noWrap/>
            <w:vAlign w:val="center"/>
            <w:hideMark/>
          </w:tcPr>
          <w:p w14:paraId="496FEC7F" w14:textId="77777777" w:rsidR="00501E46" w:rsidRDefault="00501E46" w:rsidP="00513A7C">
            <w:pPr>
              <w:spacing w:line="240" w:lineRule="auto"/>
              <w:rPr>
                <w:rFonts w:ascii="Calibri" w:eastAsia="Times New Roman" w:hAnsi="Calibri" w:cs="Calibri"/>
                <w:b/>
                <w:bCs/>
                <w:sz w:val="14"/>
                <w:szCs w:val="14"/>
              </w:rPr>
            </w:pPr>
            <w:r>
              <w:rPr>
                <w:rFonts w:ascii="Calibri" w:hAnsi="Calibri"/>
                <w:b/>
                <w:sz w:val="14"/>
              </w:rPr>
              <w:t>Powertrain &amp; Chassis</w:t>
            </w:r>
          </w:p>
        </w:tc>
        <w:tc>
          <w:tcPr>
            <w:tcW w:w="163" w:type="dxa"/>
            <w:tcBorders>
              <w:top w:val="nil"/>
              <w:left w:val="nil"/>
              <w:bottom w:val="nil"/>
              <w:right w:val="nil"/>
            </w:tcBorders>
            <w:noWrap/>
            <w:vAlign w:val="bottom"/>
            <w:hideMark/>
          </w:tcPr>
          <w:p w14:paraId="65D0A744" w14:textId="77777777" w:rsidR="00501E46" w:rsidRDefault="00501E46" w:rsidP="00513A7C">
            <w:pPr>
              <w:spacing w:line="240" w:lineRule="auto"/>
              <w:rPr>
                <w:rFonts w:ascii="Calibri" w:eastAsia="Times New Roman" w:hAnsi="Calibri" w:cs="Calibri"/>
                <w:b/>
                <w:bCs/>
                <w:sz w:val="14"/>
                <w:szCs w:val="14"/>
                <w:lang w:eastAsia="de-DE"/>
              </w:rPr>
            </w:pPr>
          </w:p>
        </w:tc>
        <w:tc>
          <w:tcPr>
            <w:tcW w:w="794" w:type="dxa"/>
            <w:tcBorders>
              <w:top w:val="single" w:sz="4" w:space="0" w:color="auto"/>
              <w:left w:val="nil"/>
              <w:bottom w:val="nil"/>
              <w:right w:val="nil"/>
            </w:tcBorders>
            <w:noWrap/>
            <w:vAlign w:val="center"/>
            <w:hideMark/>
          </w:tcPr>
          <w:p w14:paraId="10ADC175" w14:textId="77777777" w:rsidR="00501E46" w:rsidRPr="00647DAD" w:rsidRDefault="00501E46" w:rsidP="00513A7C">
            <w:pPr>
              <w:spacing w:line="240" w:lineRule="auto"/>
              <w:jc w:val="right"/>
              <w:rPr>
                <w:rFonts w:ascii="Calibri" w:eastAsia="Times New Roman" w:hAnsi="Calibri" w:cs="Calibri"/>
                <w:b/>
                <w:bCs/>
                <w:sz w:val="14"/>
                <w:szCs w:val="14"/>
              </w:rPr>
            </w:pPr>
            <w:r>
              <w:rPr>
                <w:rFonts w:ascii="Calibri" w:hAnsi="Calibri"/>
                <w:b/>
                <w:sz w:val="14"/>
              </w:rPr>
              <w:t> </w:t>
            </w:r>
          </w:p>
        </w:tc>
        <w:tc>
          <w:tcPr>
            <w:tcW w:w="162" w:type="dxa"/>
            <w:tcBorders>
              <w:top w:val="nil"/>
              <w:left w:val="nil"/>
              <w:bottom w:val="nil"/>
              <w:right w:val="nil"/>
            </w:tcBorders>
            <w:noWrap/>
            <w:vAlign w:val="bottom"/>
            <w:hideMark/>
          </w:tcPr>
          <w:p w14:paraId="74E3729A" w14:textId="77777777" w:rsidR="00501E46" w:rsidRPr="00647DAD" w:rsidRDefault="00501E46" w:rsidP="00513A7C">
            <w:pPr>
              <w:spacing w:line="240" w:lineRule="auto"/>
              <w:jc w:val="right"/>
              <w:rPr>
                <w:rFonts w:ascii="Calibri" w:eastAsia="Times New Roman" w:hAnsi="Calibri" w:cs="Calibri"/>
                <w:b/>
                <w:bCs/>
                <w:sz w:val="14"/>
                <w:szCs w:val="14"/>
                <w:lang w:eastAsia="de-DE"/>
              </w:rPr>
            </w:pPr>
          </w:p>
        </w:tc>
        <w:tc>
          <w:tcPr>
            <w:tcW w:w="796" w:type="dxa"/>
            <w:tcBorders>
              <w:top w:val="single" w:sz="4" w:space="0" w:color="auto"/>
              <w:left w:val="nil"/>
              <w:bottom w:val="nil"/>
              <w:right w:val="nil"/>
            </w:tcBorders>
            <w:noWrap/>
            <w:vAlign w:val="center"/>
            <w:hideMark/>
          </w:tcPr>
          <w:p w14:paraId="54B07AA0" w14:textId="77777777" w:rsidR="00501E46" w:rsidRPr="00647DAD" w:rsidRDefault="00501E46" w:rsidP="00513A7C">
            <w:pPr>
              <w:spacing w:line="240" w:lineRule="auto"/>
              <w:jc w:val="right"/>
              <w:rPr>
                <w:rFonts w:ascii="Calibri" w:eastAsia="Times New Roman" w:hAnsi="Calibri" w:cs="Calibri"/>
                <w:b/>
                <w:bCs/>
                <w:sz w:val="14"/>
                <w:szCs w:val="14"/>
              </w:rPr>
            </w:pPr>
            <w:r>
              <w:rPr>
                <w:rFonts w:ascii="Calibri" w:hAnsi="Calibri"/>
                <w:b/>
                <w:sz w:val="14"/>
              </w:rPr>
              <w:t> </w:t>
            </w:r>
          </w:p>
        </w:tc>
        <w:tc>
          <w:tcPr>
            <w:tcW w:w="161" w:type="dxa"/>
            <w:tcBorders>
              <w:left w:val="nil"/>
              <w:bottom w:val="nil"/>
              <w:right w:val="nil"/>
            </w:tcBorders>
          </w:tcPr>
          <w:p w14:paraId="115D2F8F" w14:textId="77777777" w:rsidR="00501E46" w:rsidRPr="00647DAD" w:rsidRDefault="00501E46" w:rsidP="00513A7C">
            <w:pPr>
              <w:spacing w:line="240" w:lineRule="auto"/>
              <w:jc w:val="right"/>
              <w:rPr>
                <w:rFonts w:ascii="Calibri" w:eastAsia="Times New Roman" w:hAnsi="Calibri" w:cs="Calibri"/>
                <w:b/>
                <w:bCs/>
                <w:sz w:val="14"/>
                <w:szCs w:val="14"/>
                <w:lang w:eastAsia="de-DE"/>
              </w:rPr>
            </w:pPr>
          </w:p>
        </w:tc>
        <w:tc>
          <w:tcPr>
            <w:tcW w:w="1752" w:type="dxa"/>
            <w:tcBorders>
              <w:top w:val="single" w:sz="4" w:space="0" w:color="auto"/>
              <w:left w:val="nil"/>
              <w:bottom w:val="nil"/>
              <w:right w:val="nil"/>
            </w:tcBorders>
          </w:tcPr>
          <w:p w14:paraId="3EF635D9" w14:textId="77777777" w:rsidR="00501E46" w:rsidRPr="00647DAD" w:rsidRDefault="00501E46" w:rsidP="00513A7C">
            <w:pPr>
              <w:spacing w:line="240" w:lineRule="auto"/>
              <w:jc w:val="right"/>
              <w:rPr>
                <w:rFonts w:ascii="Calibri" w:eastAsia="Times New Roman" w:hAnsi="Calibri" w:cs="Calibri"/>
                <w:b/>
                <w:bCs/>
                <w:sz w:val="14"/>
                <w:szCs w:val="14"/>
                <w:lang w:eastAsia="de-DE"/>
              </w:rPr>
            </w:pPr>
          </w:p>
        </w:tc>
      </w:tr>
      <w:tr w:rsidR="00501E46" w14:paraId="47E0398E" w14:textId="77777777" w:rsidTr="00501E46">
        <w:trPr>
          <w:trHeight w:val="300"/>
        </w:trPr>
        <w:tc>
          <w:tcPr>
            <w:tcW w:w="1984" w:type="dxa"/>
            <w:tcBorders>
              <w:top w:val="nil"/>
              <w:left w:val="nil"/>
              <w:bottom w:val="single" w:sz="8" w:space="0" w:color="707070"/>
              <w:right w:val="nil"/>
            </w:tcBorders>
            <w:noWrap/>
            <w:vAlign w:val="center"/>
            <w:hideMark/>
          </w:tcPr>
          <w:p w14:paraId="08D4EAB6" w14:textId="77777777" w:rsidR="00501E46" w:rsidRDefault="00501E46" w:rsidP="00513A7C">
            <w:pPr>
              <w:spacing w:line="240" w:lineRule="auto"/>
              <w:rPr>
                <w:rFonts w:ascii="Calibri" w:eastAsia="Times New Roman" w:hAnsi="Calibri" w:cs="Calibri"/>
                <w:sz w:val="14"/>
                <w:szCs w:val="14"/>
              </w:rPr>
            </w:pPr>
            <w:r>
              <w:rPr>
                <w:rFonts w:ascii="Calibri" w:hAnsi="Calibri"/>
                <w:sz w:val="14"/>
              </w:rPr>
              <w:t>Revenue</w:t>
            </w:r>
          </w:p>
        </w:tc>
        <w:tc>
          <w:tcPr>
            <w:tcW w:w="163" w:type="dxa"/>
            <w:tcBorders>
              <w:top w:val="nil"/>
              <w:left w:val="nil"/>
              <w:bottom w:val="nil"/>
              <w:right w:val="nil"/>
            </w:tcBorders>
            <w:noWrap/>
            <w:vAlign w:val="bottom"/>
            <w:hideMark/>
          </w:tcPr>
          <w:p w14:paraId="6B3CED34" w14:textId="77777777" w:rsidR="00501E46" w:rsidRDefault="00501E46" w:rsidP="00513A7C">
            <w:pPr>
              <w:spacing w:line="240" w:lineRule="auto"/>
              <w:rPr>
                <w:rFonts w:ascii="Calibri" w:eastAsia="Times New Roman" w:hAnsi="Calibri" w:cs="Calibri"/>
                <w:sz w:val="14"/>
                <w:szCs w:val="14"/>
                <w:lang w:eastAsia="de-DE"/>
              </w:rPr>
            </w:pPr>
          </w:p>
        </w:tc>
        <w:tc>
          <w:tcPr>
            <w:tcW w:w="794" w:type="dxa"/>
            <w:tcBorders>
              <w:top w:val="nil"/>
              <w:left w:val="nil"/>
              <w:bottom w:val="single" w:sz="8" w:space="0" w:color="707070"/>
              <w:right w:val="nil"/>
            </w:tcBorders>
            <w:noWrap/>
            <w:vAlign w:val="center"/>
            <w:hideMark/>
          </w:tcPr>
          <w:p w14:paraId="1B64E0B9" w14:textId="78CAEE43" w:rsidR="00501E46" w:rsidRPr="00647DAD" w:rsidRDefault="006636E9" w:rsidP="00513A7C">
            <w:pPr>
              <w:spacing w:line="240" w:lineRule="auto"/>
              <w:jc w:val="right"/>
              <w:rPr>
                <w:rFonts w:ascii="Calibri" w:eastAsia="Times New Roman" w:hAnsi="Calibri" w:cs="Calibri"/>
                <w:color w:val="00B050"/>
                <w:sz w:val="14"/>
                <w:szCs w:val="14"/>
              </w:rPr>
            </w:pPr>
            <w:r>
              <w:rPr>
                <w:rFonts w:ascii="Calibri" w:hAnsi="Calibri"/>
                <w:color w:val="00B050"/>
                <w:sz w:val="14"/>
              </w:rPr>
              <w:t>8,900</w:t>
            </w:r>
          </w:p>
        </w:tc>
        <w:tc>
          <w:tcPr>
            <w:tcW w:w="162" w:type="dxa"/>
            <w:tcBorders>
              <w:top w:val="nil"/>
              <w:left w:val="nil"/>
              <w:bottom w:val="nil"/>
              <w:right w:val="nil"/>
            </w:tcBorders>
            <w:noWrap/>
            <w:vAlign w:val="bottom"/>
            <w:hideMark/>
          </w:tcPr>
          <w:p w14:paraId="080DE45D" w14:textId="77777777" w:rsidR="00501E46" w:rsidRPr="00647DAD" w:rsidRDefault="00501E46" w:rsidP="00513A7C">
            <w:pPr>
              <w:spacing w:line="240" w:lineRule="auto"/>
              <w:jc w:val="right"/>
              <w:rPr>
                <w:rFonts w:ascii="Calibri" w:eastAsia="Times New Roman" w:hAnsi="Calibri" w:cs="Calibri"/>
                <w:color w:val="00B050"/>
                <w:sz w:val="14"/>
                <w:szCs w:val="14"/>
                <w:lang w:eastAsia="de-DE"/>
              </w:rPr>
            </w:pPr>
          </w:p>
        </w:tc>
        <w:tc>
          <w:tcPr>
            <w:tcW w:w="796" w:type="dxa"/>
            <w:tcBorders>
              <w:top w:val="nil"/>
              <w:left w:val="nil"/>
              <w:bottom w:val="single" w:sz="8" w:space="0" w:color="707070"/>
              <w:right w:val="nil"/>
            </w:tcBorders>
            <w:noWrap/>
            <w:vAlign w:val="center"/>
            <w:hideMark/>
          </w:tcPr>
          <w:p w14:paraId="17FE7E62" w14:textId="05FA71BD" w:rsidR="00501E46" w:rsidRPr="00647DAD" w:rsidRDefault="006636E9" w:rsidP="00513A7C">
            <w:pPr>
              <w:spacing w:line="240" w:lineRule="auto"/>
              <w:jc w:val="right"/>
              <w:rPr>
                <w:rFonts w:ascii="Calibri" w:eastAsia="Times New Roman" w:hAnsi="Calibri" w:cs="Calibri"/>
                <w:sz w:val="14"/>
                <w:szCs w:val="14"/>
              </w:rPr>
            </w:pPr>
            <w:r>
              <w:rPr>
                <w:rFonts w:ascii="Calibri" w:hAnsi="Calibri"/>
                <w:sz w:val="14"/>
              </w:rPr>
              <w:t>9,656</w:t>
            </w:r>
          </w:p>
        </w:tc>
        <w:tc>
          <w:tcPr>
            <w:tcW w:w="161" w:type="dxa"/>
            <w:tcBorders>
              <w:top w:val="nil"/>
              <w:left w:val="nil"/>
              <w:right w:val="nil"/>
            </w:tcBorders>
          </w:tcPr>
          <w:p w14:paraId="19432ABA" w14:textId="77777777" w:rsidR="00501E46" w:rsidRPr="00647DAD" w:rsidRDefault="00501E46" w:rsidP="00513A7C">
            <w:pPr>
              <w:spacing w:line="240" w:lineRule="auto"/>
              <w:jc w:val="right"/>
              <w:rPr>
                <w:rFonts w:ascii="Calibri" w:eastAsia="Times New Roman" w:hAnsi="Calibri" w:cs="Calibri"/>
                <w:sz w:val="14"/>
                <w:szCs w:val="14"/>
                <w:lang w:eastAsia="de-DE"/>
              </w:rPr>
            </w:pPr>
          </w:p>
        </w:tc>
        <w:tc>
          <w:tcPr>
            <w:tcW w:w="1752" w:type="dxa"/>
            <w:tcBorders>
              <w:top w:val="nil"/>
              <w:left w:val="nil"/>
              <w:bottom w:val="single" w:sz="8" w:space="0" w:color="707070"/>
              <w:right w:val="nil"/>
            </w:tcBorders>
          </w:tcPr>
          <w:p w14:paraId="40CAF318" w14:textId="0C463ECC" w:rsidR="00501E46" w:rsidRPr="00647DAD" w:rsidRDefault="00501E46" w:rsidP="00513A7C">
            <w:pPr>
              <w:spacing w:line="240" w:lineRule="auto"/>
              <w:jc w:val="right"/>
              <w:rPr>
                <w:rFonts w:ascii="Calibri" w:eastAsia="Times New Roman" w:hAnsi="Calibri" w:cs="Calibri"/>
                <w:sz w:val="14"/>
                <w:szCs w:val="14"/>
              </w:rPr>
            </w:pPr>
            <w:r>
              <w:rPr>
                <w:rFonts w:ascii="Calibri" w:hAnsi="Calibri"/>
                <w:sz w:val="14"/>
              </w:rPr>
              <w:t>-7.8</w:t>
            </w:r>
          </w:p>
        </w:tc>
      </w:tr>
      <w:tr w:rsidR="00501E46" w14:paraId="24BCACB3" w14:textId="77777777" w:rsidTr="00501E46">
        <w:trPr>
          <w:trHeight w:val="300"/>
        </w:trPr>
        <w:tc>
          <w:tcPr>
            <w:tcW w:w="1984" w:type="dxa"/>
            <w:tcBorders>
              <w:top w:val="nil"/>
              <w:left w:val="nil"/>
              <w:bottom w:val="single" w:sz="8" w:space="0" w:color="707070"/>
              <w:right w:val="nil"/>
            </w:tcBorders>
            <w:noWrap/>
            <w:vAlign w:val="center"/>
            <w:hideMark/>
          </w:tcPr>
          <w:p w14:paraId="000CD5E8" w14:textId="77777777" w:rsidR="00501E46" w:rsidRDefault="00501E46" w:rsidP="00513A7C">
            <w:pPr>
              <w:spacing w:line="240" w:lineRule="auto"/>
              <w:rPr>
                <w:rFonts w:ascii="Calibri" w:eastAsia="Times New Roman" w:hAnsi="Calibri" w:cs="Calibri"/>
                <w:sz w:val="12"/>
                <w:szCs w:val="12"/>
              </w:rPr>
            </w:pPr>
            <w:r>
              <w:rPr>
                <w:rFonts w:ascii="Calibri" w:hAnsi="Calibri"/>
                <w:sz w:val="12"/>
              </w:rPr>
              <w:t>• at constant currency</w:t>
            </w:r>
          </w:p>
        </w:tc>
        <w:tc>
          <w:tcPr>
            <w:tcW w:w="163" w:type="dxa"/>
            <w:tcBorders>
              <w:top w:val="nil"/>
              <w:left w:val="nil"/>
              <w:bottom w:val="nil"/>
              <w:right w:val="nil"/>
            </w:tcBorders>
            <w:noWrap/>
            <w:vAlign w:val="bottom"/>
            <w:hideMark/>
          </w:tcPr>
          <w:p w14:paraId="0776C62E" w14:textId="77777777" w:rsidR="00501E46" w:rsidRDefault="00501E46" w:rsidP="00513A7C">
            <w:pPr>
              <w:spacing w:line="240" w:lineRule="auto"/>
              <w:rPr>
                <w:rFonts w:ascii="Calibri" w:eastAsia="Times New Roman" w:hAnsi="Calibri" w:cs="Calibri"/>
                <w:sz w:val="12"/>
                <w:szCs w:val="12"/>
                <w:lang w:eastAsia="de-DE"/>
              </w:rPr>
            </w:pPr>
          </w:p>
        </w:tc>
        <w:tc>
          <w:tcPr>
            <w:tcW w:w="794" w:type="dxa"/>
            <w:tcBorders>
              <w:top w:val="nil"/>
              <w:left w:val="nil"/>
              <w:bottom w:val="single" w:sz="8" w:space="0" w:color="707070"/>
              <w:right w:val="nil"/>
            </w:tcBorders>
            <w:noWrap/>
            <w:vAlign w:val="center"/>
            <w:hideMark/>
          </w:tcPr>
          <w:p w14:paraId="729D7C38" w14:textId="77777777" w:rsidR="00501E46" w:rsidRPr="00647DAD" w:rsidRDefault="00501E46" w:rsidP="00513A7C">
            <w:pPr>
              <w:spacing w:line="240" w:lineRule="auto"/>
              <w:jc w:val="right"/>
              <w:rPr>
                <w:rFonts w:ascii="Calibri" w:eastAsia="Times New Roman" w:hAnsi="Calibri" w:cs="Calibri"/>
                <w:color w:val="00B050"/>
                <w:sz w:val="12"/>
                <w:szCs w:val="12"/>
              </w:rPr>
            </w:pPr>
            <w:r>
              <w:rPr>
                <w:rFonts w:ascii="Calibri" w:hAnsi="Calibri"/>
                <w:color w:val="00B050"/>
                <w:sz w:val="12"/>
              </w:rPr>
              <w:t> </w:t>
            </w:r>
          </w:p>
        </w:tc>
        <w:tc>
          <w:tcPr>
            <w:tcW w:w="162" w:type="dxa"/>
            <w:tcBorders>
              <w:top w:val="nil"/>
              <w:left w:val="nil"/>
              <w:bottom w:val="nil"/>
              <w:right w:val="nil"/>
            </w:tcBorders>
            <w:noWrap/>
            <w:vAlign w:val="bottom"/>
            <w:hideMark/>
          </w:tcPr>
          <w:p w14:paraId="1EB36FF8" w14:textId="77777777" w:rsidR="00501E46" w:rsidRPr="00647DAD" w:rsidRDefault="00501E46" w:rsidP="00513A7C">
            <w:pPr>
              <w:spacing w:line="240" w:lineRule="auto"/>
              <w:jc w:val="right"/>
              <w:rPr>
                <w:rFonts w:ascii="Calibri" w:eastAsia="Times New Roman" w:hAnsi="Calibri" w:cs="Calibri"/>
                <w:color w:val="00B050"/>
                <w:sz w:val="12"/>
                <w:szCs w:val="12"/>
                <w:lang w:eastAsia="de-DE"/>
              </w:rPr>
            </w:pPr>
          </w:p>
        </w:tc>
        <w:tc>
          <w:tcPr>
            <w:tcW w:w="796" w:type="dxa"/>
            <w:tcBorders>
              <w:top w:val="nil"/>
              <w:left w:val="nil"/>
              <w:bottom w:val="single" w:sz="8" w:space="0" w:color="707070"/>
              <w:right w:val="nil"/>
            </w:tcBorders>
            <w:noWrap/>
            <w:vAlign w:val="center"/>
            <w:hideMark/>
          </w:tcPr>
          <w:p w14:paraId="64DB35AA" w14:textId="77777777" w:rsidR="00501E46" w:rsidRPr="00647DAD" w:rsidRDefault="00501E46" w:rsidP="00513A7C">
            <w:pPr>
              <w:spacing w:line="240" w:lineRule="auto"/>
              <w:jc w:val="right"/>
              <w:rPr>
                <w:rFonts w:ascii="Calibri" w:eastAsia="Times New Roman" w:hAnsi="Calibri" w:cs="Calibri"/>
                <w:sz w:val="12"/>
                <w:szCs w:val="12"/>
                <w:lang w:eastAsia="de-DE"/>
              </w:rPr>
            </w:pPr>
          </w:p>
        </w:tc>
        <w:tc>
          <w:tcPr>
            <w:tcW w:w="161" w:type="dxa"/>
            <w:tcBorders>
              <w:top w:val="nil"/>
              <w:left w:val="nil"/>
              <w:right w:val="nil"/>
            </w:tcBorders>
          </w:tcPr>
          <w:p w14:paraId="48A699EB" w14:textId="77777777" w:rsidR="00501E46" w:rsidRPr="00647DAD" w:rsidRDefault="00501E46" w:rsidP="00513A7C">
            <w:pPr>
              <w:spacing w:line="240" w:lineRule="auto"/>
              <w:jc w:val="right"/>
              <w:rPr>
                <w:rFonts w:ascii="Calibri" w:eastAsia="Times New Roman" w:hAnsi="Calibri" w:cs="Calibri"/>
                <w:sz w:val="12"/>
                <w:szCs w:val="12"/>
                <w:lang w:eastAsia="de-DE"/>
              </w:rPr>
            </w:pPr>
          </w:p>
        </w:tc>
        <w:tc>
          <w:tcPr>
            <w:tcW w:w="1752" w:type="dxa"/>
            <w:tcBorders>
              <w:top w:val="nil"/>
              <w:left w:val="nil"/>
              <w:bottom w:val="single" w:sz="8" w:space="0" w:color="707070"/>
              <w:right w:val="nil"/>
            </w:tcBorders>
          </w:tcPr>
          <w:p w14:paraId="3A6B9A13" w14:textId="32803798" w:rsidR="00501E46" w:rsidRPr="00647DAD" w:rsidRDefault="00501E46" w:rsidP="00513A7C">
            <w:pPr>
              <w:spacing w:line="240" w:lineRule="auto"/>
              <w:jc w:val="right"/>
              <w:rPr>
                <w:rFonts w:ascii="Calibri" w:eastAsia="Times New Roman" w:hAnsi="Calibri" w:cs="Calibri"/>
                <w:sz w:val="12"/>
                <w:szCs w:val="12"/>
              </w:rPr>
            </w:pPr>
            <w:r>
              <w:rPr>
                <w:rFonts w:ascii="Calibri" w:hAnsi="Calibri"/>
                <w:sz w:val="12"/>
              </w:rPr>
              <w:t>-5.2</w:t>
            </w:r>
          </w:p>
        </w:tc>
      </w:tr>
      <w:tr w:rsidR="00501E46" w14:paraId="561D283E" w14:textId="77777777" w:rsidTr="00501E46">
        <w:trPr>
          <w:trHeight w:val="300"/>
        </w:trPr>
        <w:tc>
          <w:tcPr>
            <w:tcW w:w="1984" w:type="dxa"/>
            <w:tcBorders>
              <w:top w:val="nil"/>
              <w:left w:val="nil"/>
              <w:bottom w:val="single" w:sz="8" w:space="0" w:color="707070"/>
              <w:right w:val="nil"/>
            </w:tcBorders>
            <w:noWrap/>
            <w:vAlign w:val="center"/>
            <w:hideMark/>
          </w:tcPr>
          <w:p w14:paraId="753A1FDF" w14:textId="77777777" w:rsidR="00501E46" w:rsidRDefault="00501E46" w:rsidP="00513A7C">
            <w:pPr>
              <w:spacing w:line="240" w:lineRule="auto"/>
              <w:rPr>
                <w:rFonts w:ascii="Calibri" w:eastAsia="Times New Roman" w:hAnsi="Calibri" w:cs="Calibri"/>
                <w:sz w:val="14"/>
                <w:szCs w:val="14"/>
              </w:rPr>
            </w:pPr>
            <w:r>
              <w:rPr>
                <w:rFonts w:ascii="Calibri" w:hAnsi="Calibri"/>
                <w:sz w:val="14"/>
              </w:rPr>
              <w:t>EBIT before special items</w:t>
            </w:r>
            <w:r>
              <w:rPr>
                <w:rFonts w:ascii="Calibri" w:hAnsi="Calibri"/>
                <w:sz w:val="14"/>
                <w:vertAlign w:val="superscript"/>
              </w:rPr>
              <w:t>1</w:t>
            </w:r>
          </w:p>
        </w:tc>
        <w:tc>
          <w:tcPr>
            <w:tcW w:w="163" w:type="dxa"/>
            <w:tcBorders>
              <w:top w:val="nil"/>
              <w:left w:val="nil"/>
              <w:bottom w:val="nil"/>
              <w:right w:val="nil"/>
            </w:tcBorders>
            <w:noWrap/>
            <w:vAlign w:val="bottom"/>
            <w:hideMark/>
          </w:tcPr>
          <w:p w14:paraId="51E5ADD7" w14:textId="77777777" w:rsidR="00501E46" w:rsidRDefault="00501E46" w:rsidP="00513A7C">
            <w:pPr>
              <w:spacing w:line="240" w:lineRule="auto"/>
              <w:rPr>
                <w:rFonts w:ascii="Calibri" w:eastAsia="Times New Roman" w:hAnsi="Calibri" w:cs="Calibri"/>
                <w:sz w:val="14"/>
                <w:szCs w:val="14"/>
                <w:lang w:eastAsia="de-DE"/>
              </w:rPr>
            </w:pPr>
          </w:p>
        </w:tc>
        <w:tc>
          <w:tcPr>
            <w:tcW w:w="794" w:type="dxa"/>
            <w:tcBorders>
              <w:top w:val="nil"/>
              <w:left w:val="nil"/>
              <w:bottom w:val="single" w:sz="8" w:space="0" w:color="707070"/>
              <w:right w:val="nil"/>
            </w:tcBorders>
            <w:noWrap/>
            <w:vAlign w:val="center"/>
            <w:hideMark/>
          </w:tcPr>
          <w:p w14:paraId="734AE672" w14:textId="18136F5E" w:rsidR="00501E46" w:rsidRPr="00647DAD" w:rsidRDefault="006636E9" w:rsidP="00513A7C">
            <w:pPr>
              <w:spacing w:line="240" w:lineRule="auto"/>
              <w:jc w:val="right"/>
              <w:rPr>
                <w:rFonts w:ascii="Calibri" w:eastAsia="Times New Roman" w:hAnsi="Calibri" w:cs="Calibri"/>
                <w:color w:val="00B050"/>
                <w:sz w:val="14"/>
                <w:szCs w:val="14"/>
              </w:rPr>
            </w:pPr>
            <w:r>
              <w:rPr>
                <w:rFonts w:ascii="Calibri" w:hAnsi="Calibri"/>
                <w:color w:val="00B050"/>
                <w:sz w:val="14"/>
              </w:rPr>
              <w:t>933</w:t>
            </w:r>
          </w:p>
        </w:tc>
        <w:tc>
          <w:tcPr>
            <w:tcW w:w="162" w:type="dxa"/>
            <w:tcBorders>
              <w:top w:val="nil"/>
              <w:left w:val="nil"/>
              <w:bottom w:val="nil"/>
              <w:right w:val="nil"/>
            </w:tcBorders>
            <w:noWrap/>
            <w:vAlign w:val="bottom"/>
            <w:hideMark/>
          </w:tcPr>
          <w:p w14:paraId="1B779F59" w14:textId="77777777" w:rsidR="00501E46" w:rsidRPr="00647DAD" w:rsidRDefault="00501E46" w:rsidP="00513A7C">
            <w:pPr>
              <w:spacing w:line="240" w:lineRule="auto"/>
              <w:jc w:val="right"/>
              <w:rPr>
                <w:rFonts w:ascii="Calibri" w:eastAsia="Times New Roman" w:hAnsi="Calibri" w:cs="Calibri"/>
                <w:color w:val="00B050"/>
                <w:sz w:val="14"/>
                <w:szCs w:val="14"/>
                <w:lang w:eastAsia="de-DE"/>
              </w:rPr>
            </w:pPr>
          </w:p>
        </w:tc>
        <w:tc>
          <w:tcPr>
            <w:tcW w:w="796" w:type="dxa"/>
            <w:tcBorders>
              <w:top w:val="nil"/>
              <w:left w:val="nil"/>
              <w:bottom w:val="single" w:sz="8" w:space="0" w:color="707070"/>
              <w:right w:val="nil"/>
            </w:tcBorders>
            <w:noWrap/>
            <w:vAlign w:val="center"/>
            <w:hideMark/>
          </w:tcPr>
          <w:p w14:paraId="5728DD97" w14:textId="63CF5F9D" w:rsidR="00501E46" w:rsidRPr="00647DAD" w:rsidRDefault="006636E9" w:rsidP="00513A7C">
            <w:pPr>
              <w:spacing w:line="240" w:lineRule="auto"/>
              <w:jc w:val="right"/>
              <w:rPr>
                <w:rFonts w:ascii="Calibri" w:eastAsia="Times New Roman" w:hAnsi="Calibri" w:cs="Calibri"/>
                <w:sz w:val="14"/>
                <w:szCs w:val="14"/>
              </w:rPr>
            </w:pPr>
            <w:r>
              <w:rPr>
                <w:rFonts w:ascii="Calibri" w:hAnsi="Calibri"/>
                <w:sz w:val="14"/>
              </w:rPr>
              <w:t>1,101</w:t>
            </w:r>
          </w:p>
        </w:tc>
        <w:tc>
          <w:tcPr>
            <w:tcW w:w="161" w:type="dxa"/>
            <w:tcBorders>
              <w:top w:val="nil"/>
              <w:left w:val="nil"/>
              <w:right w:val="nil"/>
            </w:tcBorders>
          </w:tcPr>
          <w:p w14:paraId="55C9D5E7" w14:textId="77777777" w:rsidR="00501E46" w:rsidRPr="00647DAD" w:rsidRDefault="00501E46" w:rsidP="00513A7C">
            <w:pPr>
              <w:spacing w:line="240" w:lineRule="auto"/>
              <w:jc w:val="right"/>
              <w:rPr>
                <w:rFonts w:ascii="Calibri" w:eastAsia="Times New Roman" w:hAnsi="Calibri" w:cs="Calibri"/>
                <w:sz w:val="14"/>
                <w:szCs w:val="14"/>
                <w:lang w:eastAsia="de-DE"/>
              </w:rPr>
            </w:pPr>
          </w:p>
        </w:tc>
        <w:tc>
          <w:tcPr>
            <w:tcW w:w="1752" w:type="dxa"/>
            <w:tcBorders>
              <w:top w:val="nil"/>
              <w:left w:val="nil"/>
              <w:bottom w:val="single" w:sz="8" w:space="0" w:color="707070"/>
              <w:right w:val="nil"/>
            </w:tcBorders>
          </w:tcPr>
          <w:p w14:paraId="3B1FD5E9" w14:textId="78D921EB" w:rsidR="00501E46" w:rsidRPr="00647DAD" w:rsidRDefault="00501E46" w:rsidP="00513A7C">
            <w:pPr>
              <w:spacing w:line="240" w:lineRule="auto"/>
              <w:jc w:val="right"/>
              <w:rPr>
                <w:rFonts w:ascii="Calibri" w:eastAsia="Times New Roman" w:hAnsi="Calibri" w:cs="Calibri"/>
                <w:sz w:val="14"/>
                <w:szCs w:val="14"/>
              </w:rPr>
            </w:pPr>
            <w:r>
              <w:rPr>
                <w:rFonts w:ascii="Calibri" w:hAnsi="Calibri"/>
                <w:sz w:val="14"/>
              </w:rPr>
              <w:t>-15.2</w:t>
            </w:r>
          </w:p>
        </w:tc>
      </w:tr>
      <w:tr w:rsidR="00501E46" w14:paraId="60EF3FB7" w14:textId="77777777" w:rsidTr="00501E46">
        <w:trPr>
          <w:trHeight w:val="300"/>
        </w:trPr>
        <w:tc>
          <w:tcPr>
            <w:tcW w:w="1984" w:type="dxa"/>
            <w:tcBorders>
              <w:top w:val="nil"/>
              <w:left w:val="nil"/>
              <w:bottom w:val="single" w:sz="4" w:space="0" w:color="auto"/>
              <w:right w:val="nil"/>
            </w:tcBorders>
            <w:vAlign w:val="center"/>
            <w:hideMark/>
          </w:tcPr>
          <w:p w14:paraId="379DAA1E" w14:textId="77777777" w:rsidR="00501E46" w:rsidRDefault="00501E46" w:rsidP="00513A7C">
            <w:pPr>
              <w:spacing w:line="240" w:lineRule="auto"/>
              <w:rPr>
                <w:rFonts w:ascii="Calibri" w:eastAsia="Times New Roman" w:hAnsi="Calibri" w:cs="Calibri"/>
                <w:sz w:val="12"/>
                <w:szCs w:val="12"/>
              </w:rPr>
            </w:pPr>
            <w:r>
              <w:rPr>
                <w:rFonts w:ascii="Calibri" w:hAnsi="Calibri"/>
                <w:sz w:val="12"/>
              </w:rPr>
              <w:t>• in % of revenue</w:t>
            </w:r>
          </w:p>
        </w:tc>
        <w:tc>
          <w:tcPr>
            <w:tcW w:w="163" w:type="dxa"/>
            <w:tcBorders>
              <w:top w:val="nil"/>
              <w:left w:val="nil"/>
              <w:bottom w:val="nil"/>
              <w:right w:val="nil"/>
            </w:tcBorders>
            <w:noWrap/>
            <w:vAlign w:val="bottom"/>
            <w:hideMark/>
          </w:tcPr>
          <w:p w14:paraId="36940156" w14:textId="77777777" w:rsidR="00501E46" w:rsidRDefault="00501E46" w:rsidP="00513A7C">
            <w:pPr>
              <w:spacing w:line="240" w:lineRule="auto"/>
              <w:rPr>
                <w:rFonts w:ascii="Calibri" w:eastAsia="Times New Roman" w:hAnsi="Calibri" w:cs="Calibri"/>
                <w:sz w:val="12"/>
                <w:szCs w:val="12"/>
                <w:lang w:eastAsia="de-DE"/>
              </w:rPr>
            </w:pPr>
          </w:p>
        </w:tc>
        <w:tc>
          <w:tcPr>
            <w:tcW w:w="794" w:type="dxa"/>
            <w:tcBorders>
              <w:top w:val="nil"/>
              <w:left w:val="nil"/>
              <w:bottom w:val="single" w:sz="4" w:space="0" w:color="auto"/>
              <w:right w:val="nil"/>
            </w:tcBorders>
            <w:noWrap/>
            <w:vAlign w:val="center"/>
            <w:hideMark/>
          </w:tcPr>
          <w:p w14:paraId="6704222C" w14:textId="306C8FA7" w:rsidR="00501E46" w:rsidRPr="00647DAD" w:rsidRDefault="00501E46" w:rsidP="00513A7C">
            <w:pPr>
              <w:spacing w:line="240" w:lineRule="auto"/>
              <w:jc w:val="right"/>
              <w:rPr>
                <w:rFonts w:ascii="Calibri" w:eastAsia="Times New Roman" w:hAnsi="Calibri" w:cs="Calibri"/>
                <w:color w:val="00B050"/>
                <w:sz w:val="12"/>
                <w:szCs w:val="12"/>
              </w:rPr>
            </w:pPr>
            <w:r>
              <w:rPr>
                <w:rFonts w:ascii="Calibri" w:hAnsi="Calibri"/>
                <w:color w:val="00B050"/>
                <w:sz w:val="12"/>
              </w:rPr>
              <w:t>10.5</w:t>
            </w:r>
          </w:p>
        </w:tc>
        <w:tc>
          <w:tcPr>
            <w:tcW w:w="162" w:type="dxa"/>
            <w:tcBorders>
              <w:top w:val="nil"/>
              <w:left w:val="nil"/>
              <w:bottom w:val="nil"/>
              <w:right w:val="nil"/>
            </w:tcBorders>
            <w:noWrap/>
            <w:vAlign w:val="bottom"/>
            <w:hideMark/>
          </w:tcPr>
          <w:p w14:paraId="249FDB56" w14:textId="77777777" w:rsidR="00501E46" w:rsidRPr="00647DAD" w:rsidRDefault="00501E46" w:rsidP="00513A7C">
            <w:pPr>
              <w:spacing w:line="240" w:lineRule="auto"/>
              <w:jc w:val="right"/>
              <w:rPr>
                <w:rFonts w:ascii="Calibri" w:eastAsia="Times New Roman" w:hAnsi="Calibri" w:cs="Calibri"/>
                <w:color w:val="00B050"/>
                <w:sz w:val="12"/>
                <w:szCs w:val="12"/>
                <w:lang w:eastAsia="de-DE"/>
              </w:rPr>
            </w:pPr>
          </w:p>
        </w:tc>
        <w:tc>
          <w:tcPr>
            <w:tcW w:w="796" w:type="dxa"/>
            <w:tcBorders>
              <w:top w:val="nil"/>
              <w:left w:val="nil"/>
              <w:bottom w:val="single" w:sz="4" w:space="0" w:color="auto"/>
              <w:right w:val="nil"/>
            </w:tcBorders>
            <w:noWrap/>
            <w:vAlign w:val="center"/>
            <w:hideMark/>
          </w:tcPr>
          <w:p w14:paraId="23AE348E" w14:textId="39A1CB9F" w:rsidR="00501E46" w:rsidRPr="00647DAD" w:rsidRDefault="00501E46" w:rsidP="00513A7C">
            <w:pPr>
              <w:spacing w:line="240" w:lineRule="auto"/>
              <w:jc w:val="right"/>
              <w:rPr>
                <w:rFonts w:ascii="Calibri" w:eastAsia="Times New Roman" w:hAnsi="Calibri" w:cs="Calibri"/>
                <w:sz w:val="12"/>
                <w:szCs w:val="12"/>
              </w:rPr>
            </w:pPr>
            <w:r>
              <w:rPr>
                <w:rFonts w:ascii="Calibri" w:hAnsi="Calibri"/>
                <w:sz w:val="12"/>
              </w:rPr>
              <w:t xml:space="preserve">11.4 </w:t>
            </w:r>
          </w:p>
        </w:tc>
        <w:tc>
          <w:tcPr>
            <w:tcW w:w="161" w:type="dxa"/>
            <w:tcBorders>
              <w:top w:val="nil"/>
              <w:left w:val="nil"/>
              <w:bottom w:val="nil"/>
              <w:right w:val="nil"/>
            </w:tcBorders>
          </w:tcPr>
          <w:p w14:paraId="6D22FBE8" w14:textId="77777777" w:rsidR="00501E46" w:rsidRPr="00647DAD" w:rsidRDefault="00501E46" w:rsidP="00513A7C">
            <w:pPr>
              <w:spacing w:line="240" w:lineRule="auto"/>
              <w:jc w:val="right"/>
              <w:rPr>
                <w:rFonts w:ascii="Calibri" w:eastAsia="Times New Roman" w:hAnsi="Calibri" w:cs="Calibri"/>
                <w:sz w:val="12"/>
                <w:szCs w:val="12"/>
                <w:lang w:eastAsia="de-DE"/>
              </w:rPr>
            </w:pPr>
          </w:p>
        </w:tc>
        <w:tc>
          <w:tcPr>
            <w:tcW w:w="1752" w:type="dxa"/>
            <w:tcBorders>
              <w:top w:val="nil"/>
              <w:left w:val="nil"/>
              <w:bottom w:val="single" w:sz="4" w:space="0" w:color="auto"/>
              <w:right w:val="nil"/>
            </w:tcBorders>
            <w:vAlign w:val="center"/>
          </w:tcPr>
          <w:p w14:paraId="7226E8B1" w14:textId="77777777" w:rsidR="00501E46" w:rsidRPr="00647DAD" w:rsidRDefault="00501E46" w:rsidP="00513A7C">
            <w:pPr>
              <w:spacing w:line="240" w:lineRule="auto"/>
              <w:jc w:val="right"/>
              <w:rPr>
                <w:rFonts w:ascii="Calibri" w:eastAsia="Times New Roman" w:hAnsi="Calibri" w:cs="Calibri"/>
                <w:sz w:val="12"/>
                <w:szCs w:val="12"/>
              </w:rPr>
            </w:pPr>
            <w:r>
              <w:rPr>
                <w:rFonts w:ascii="Calibri" w:hAnsi="Calibri"/>
                <w:sz w:val="12"/>
              </w:rPr>
              <w:t>-</w:t>
            </w:r>
          </w:p>
        </w:tc>
      </w:tr>
      <w:tr w:rsidR="00501E46" w14:paraId="52265858" w14:textId="77777777" w:rsidTr="00501E46">
        <w:trPr>
          <w:trHeight w:val="300"/>
        </w:trPr>
        <w:tc>
          <w:tcPr>
            <w:tcW w:w="1984" w:type="dxa"/>
            <w:tcBorders>
              <w:top w:val="single" w:sz="4" w:space="0" w:color="auto"/>
              <w:left w:val="nil"/>
              <w:bottom w:val="single" w:sz="8" w:space="0" w:color="707070"/>
              <w:right w:val="nil"/>
            </w:tcBorders>
            <w:noWrap/>
            <w:vAlign w:val="center"/>
            <w:hideMark/>
          </w:tcPr>
          <w:p w14:paraId="556C27E5" w14:textId="77777777" w:rsidR="00501E46" w:rsidRDefault="00501E46" w:rsidP="00513A7C">
            <w:pPr>
              <w:spacing w:line="240" w:lineRule="auto"/>
              <w:rPr>
                <w:rFonts w:ascii="Calibri" w:eastAsia="Times New Roman" w:hAnsi="Calibri" w:cs="Calibri"/>
                <w:b/>
                <w:bCs/>
                <w:sz w:val="14"/>
                <w:szCs w:val="14"/>
              </w:rPr>
            </w:pPr>
            <w:r>
              <w:rPr>
                <w:rFonts w:ascii="Calibri" w:hAnsi="Calibri"/>
                <w:b/>
                <w:sz w:val="14"/>
              </w:rPr>
              <w:t>Vehicle Lifetime Solutions</w:t>
            </w:r>
          </w:p>
        </w:tc>
        <w:tc>
          <w:tcPr>
            <w:tcW w:w="163" w:type="dxa"/>
            <w:tcBorders>
              <w:top w:val="nil"/>
              <w:left w:val="nil"/>
              <w:bottom w:val="nil"/>
              <w:right w:val="nil"/>
            </w:tcBorders>
            <w:noWrap/>
            <w:vAlign w:val="bottom"/>
            <w:hideMark/>
          </w:tcPr>
          <w:p w14:paraId="314362EB" w14:textId="77777777" w:rsidR="00501E46" w:rsidRDefault="00501E46" w:rsidP="00513A7C">
            <w:pPr>
              <w:spacing w:line="240" w:lineRule="auto"/>
              <w:rPr>
                <w:rFonts w:ascii="Calibri" w:eastAsia="Times New Roman" w:hAnsi="Calibri" w:cs="Calibri"/>
                <w:b/>
                <w:bCs/>
                <w:sz w:val="14"/>
                <w:szCs w:val="14"/>
                <w:lang w:eastAsia="de-DE"/>
              </w:rPr>
            </w:pPr>
          </w:p>
        </w:tc>
        <w:tc>
          <w:tcPr>
            <w:tcW w:w="794" w:type="dxa"/>
            <w:tcBorders>
              <w:top w:val="single" w:sz="4" w:space="0" w:color="auto"/>
              <w:left w:val="nil"/>
              <w:bottom w:val="nil"/>
              <w:right w:val="nil"/>
            </w:tcBorders>
            <w:noWrap/>
            <w:vAlign w:val="center"/>
            <w:hideMark/>
          </w:tcPr>
          <w:p w14:paraId="0136AC57" w14:textId="77777777" w:rsidR="00501E46" w:rsidRPr="00647DAD" w:rsidRDefault="00501E46" w:rsidP="00513A7C">
            <w:pPr>
              <w:spacing w:line="240" w:lineRule="auto"/>
              <w:jc w:val="right"/>
              <w:rPr>
                <w:rFonts w:ascii="Calibri" w:eastAsia="Times New Roman" w:hAnsi="Calibri" w:cs="Calibri"/>
                <w:color w:val="00B050"/>
                <w:sz w:val="12"/>
                <w:szCs w:val="12"/>
              </w:rPr>
            </w:pPr>
            <w:r>
              <w:rPr>
                <w:rFonts w:ascii="Calibri" w:hAnsi="Calibri"/>
                <w:color w:val="00B050"/>
                <w:sz w:val="12"/>
              </w:rPr>
              <w:t> </w:t>
            </w:r>
          </w:p>
        </w:tc>
        <w:tc>
          <w:tcPr>
            <w:tcW w:w="162" w:type="dxa"/>
            <w:tcBorders>
              <w:top w:val="nil"/>
              <w:left w:val="nil"/>
              <w:bottom w:val="nil"/>
              <w:right w:val="nil"/>
            </w:tcBorders>
            <w:noWrap/>
            <w:vAlign w:val="bottom"/>
            <w:hideMark/>
          </w:tcPr>
          <w:p w14:paraId="297E265A" w14:textId="77777777" w:rsidR="00501E46" w:rsidRPr="00647DAD" w:rsidRDefault="00501E46" w:rsidP="00513A7C">
            <w:pPr>
              <w:spacing w:line="240" w:lineRule="auto"/>
              <w:jc w:val="right"/>
              <w:rPr>
                <w:rFonts w:ascii="Calibri" w:eastAsia="Times New Roman" w:hAnsi="Calibri" w:cs="Calibri"/>
                <w:color w:val="00B050"/>
                <w:sz w:val="12"/>
                <w:szCs w:val="12"/>
                <w:lang w:eastAsia="de-DE"/>
              </w:rPr>
            </w:pPr>
          </w:p>
        </w:tc>
        <w:tc>
          <w:tcPr>
            <w:tcW w:w="796" w:type="dxa"/>
            <w:tcBorders>
              <w:top w:val="single" w:sz="4" w:space="0" w:color="auto"/>
              <w:left w:val="nil"/>
              <w:bottom w:val="nil"/>
              <w:right w:val="nil"/>
            </w:tcBorders>
            <w:noWrap/>
            <w:vAlign w:val="center"/>
            <w:hideMark/>
          </w:tcPr>
          <w:p w14:paraId="67920CA2" w14:textId="77777777" w:rsidR="00501E46" w:rsidRPr="00647DAD" w:rsidRDefault="00501E46" w:rsidP="00513A7C">
            <w:pPr>
              <w:spacing w:line="240" w:lineRule="auto"/>
              <w:rPr>
                <w:rFonts w:ascii="Calibri" w:eastAsia="Times New Roman" w:hAnsi="Calibri" w:cs="Calibri"/>
                <w:sz w:val="12"/>
                <w:szCs w:val="12"/>
              </w:rPr>
            </w:pPr>
            <w:r>
              <w:rPr>
                <w:rFonts w:ascii="Calibri" w:hAnsi="Calibri"/>
                <w:sz w:val="12"/>
              </w:rPr>
              <w:t> </w:t>
            </w:r>
          </w:p>
        </w:tc>
        <w:tc>
          <w:tcPr>
            <w:tcW w:w="161" w:type="dxa"/>
            <w:tcBorders>
              <w:left w:val="nil"/>
              <w:bottom w:val="nil"/>
              <w:right w:val="nil"/>
            </w:tcBorders>
          </w:tcPr>
          <w:p w14:paraId="68FB8232" w14:textId="77777777" w:rsidR="00501E46" w:rsidRPr="00647DAD" w:rsidRDefault="00501E46" w:rsidP="00513A7C">
            <w:pPr>
              <w:spacing w:line="240" w:lineRule="auto"/>
              <w:rPr>
                <w:rFonts w:ascii="Calibri" w:eastAsia="Times New Roman" w:hAnsi="Calibri" w:cs="Calibri"/>
                <w:sz w:val="12"/>
                <w:szCs w:val="12"/>
                <w:lang w:eastAsia="de-DE"/>
              </w:rPr>
            </w:pPr>
          </w:p>
        </w:tc>
        <w:tc>
          <w:tcPr>
            <w:tcW w:w="1752" w:type="dxa"/>
            <w:tcBorders>
              <w:top w:val="single" w:sz="4" w:space="0" w:color="auto"/>
              <w:left w:val="nil"/>
              <w:bottom w:val="nil"/>
              <w:right w:val="nil"/>
            </w:tcBorders>
          </w:tcPr>
          <w:p w14:paraId="13BEAA82" w14:textId="77777777" w:rsidR="00501E46" w:rsidRPr="00647DAD" w:rsidRDefault="00501E46" w:rsidP="00513A7C">
            <w:pPr>
              <w:spacing w:line="240" w:lineRule="auto"/>
              <w:rPr>
                <w:rFonts w:ascii="Calibri" w:eastAsia="Times New Roman" w:hAnsi="Calibri" w:cs="Calibri"/>
                <w:sz w:val="12"/>
                <w:szCs w:val="12"/>
                <w:lang w:eastAsia="de-DE"/>
              </w:rPr>
            </w:pPr>
          </w:p>
        </w:tc>
      </w:tr>
      <w:tr w:rsidR="00501E46" w14:paraId="1417CB4D" w14:textId="77777777" w:rsidTr="00501E46">
        <w:trPr>
          <w:trHeight w:val="300"/>
        </w:trPr>
        <w:tc>
          <w:tcPr>
            <w:tcW w:w="1984" w:type="dxa"/>
            <w:tcBorders>
              <w:top w:val="nil"/>
              <w:left w:val="nil"/>
              <w:bottom w:val="single" w:sz="8" w:space="0" w:color="707070"/>
              <w:right w:val="nil"/>
            </w:tcBorders>
            <w:noWrap/>
            <w:vAlign w:val="center"/>
            <w:hideMark/>
          </w:tcPr>
          <w:p w14:paraId="2417F6F2" w14:textId="77777777" w:rsidR="00501E46" w:rsidRDefault="00501E46" w:rsidP="00513A7C">
            <w:pPr>
              <w:spacing w:line="240" w:lineRule="auto"/>
              <w:rPr>
                <w:rFonts w:ascii="Calibri" w:eastAsia="Times New Roman" w:hAnsi="Calibri" w:cs="Calibri"/>
                <w:sz w:val="14"/>
                <w:szCs w:val="14"/>
              </w:rPr>
            </w:pPr>
            <w:r>
              <w:rPr>
                <w:rFonts w:ascii="Calibri" w:hAnsi="Calibri"/>
                <w:sz w:val="14"/>
              </w:rPr>
              <w:t>Revenue</w:t>
            </w:r>
          </w:p>
        </w:tc>
        <w:tc>
          <w:tcPr>
            <w:tcW w:w="163" w:type="dxa"/>
            <w:tcBorders>
              <w:top w:val="nil"/>
              <w:left w:val="nil"/>
              <w:bottom w:val="nil"/>
              <w:right w:val="nil"/>
            </w:tcBorders>
            <w:noWrap/>
            <w:vAlign w:val="bottom"/>
            <w:hideMark/>
          </w:tcPr>
          <w:p w14:paraId="466966A0" w14:textId="77777777" w:rsidR="00501E46" w:rsidRDefault="00501E46" w:rsidP="00513A7C">
            <w:pPr>
              <w:spacing w:line="240" w:lineRule="auto"/>
              <w:rPr>
                <w:rFonts w:ascii="Calibri" w:eastAsia="Times New Roman" w:hAnsi="Calibri" w:cs="Calibri"/>
                <w:sz w:val="14"/>
                <w:szCs w:val="14"/>
                <w:lang w:eastAsia="de-DE"/>
              </w:rPr>
            </w:pPr>
          </w:p>
        </w:tc>
        <w:tc>
          <w:tcPr>
            <w:tcW w:w="794" w:type="dxa"/>
            <w:tcBorders>
              <w:top w:val="nil"/>
              <w:left w:val="nil"/>
              <w:bottom w:val="single" w:sz="8" w:space="0" w:color="707070"/>
              <w:right w:val="nil"/>
            </w:tcBorders>
            <w:noWrap/>
            <w:vAlign w:val="center"/>
            <w:hideMark/>
          </w:tcPr>
          <w:p w14:paraId="5492D141" w14:textId="3769166B" w:rsidR="00501E46" w:rsidRPr="00647DAD" w:rsidRDefault="002B0D36" w:rsidP="00513A7C">
            <w:pPr>
              <w:spacing w:line="240" w:lineRule="auto"/>
              <w:jc w:val="right"/>
              <w:rPr>
                <w:rFonts w:ascii="Calibri" w:eastAsia="Times New Roman" w:hAnsi="Calibri" w:cs="Calibri"/>
                <w:color w:val="00B050"/>
                <w:sz w:val="14"/>
                <w:szCs w:val="14"/>
              </w:rPr>
            </w:pPr>
            <w:r>
              <w:rPr>
                <w:rFonts w:ascii="Calibri" w:hAnsi="Calibri"/>
                <w:color w:val="00B050"/>
                <w:sz w:val="14"/>
              </w:rPr>
              <w:t>3,038</w:t>
            </w:r>
          </w:p>
        </w:tc>
        <w:tc>
          <w:tcPr>
            <w:tcW w:w="162" w:type="dxa"/>
            <w:tcBorders>
              <w:top w:val="nil"/>
              <w:left w:val="nil"/>
              <w:bottom w:val="nil"/>
              <w:right w:val="nil"/>
            </w:tcBorders>
            <w:noWrap/>
            <w:vAlign w:val="bottom"/>
            <w:hideMark/>
          </w:tcPr>
          <w:p w14:paraId="1F728F3F" w14:textId="77777777" w:rsidR="00501E46" w:rsidRPr="00647DAD" w:rsidRDefault="00501E46" w:rsidP="00513A7C">
            <w:pPr>
              <w:spacing w:line="240" w:lineRule="auto"/>
              <w:jc w:val="right"/>
              <w:rPr>
                <w:rFonts w:ascii="Calibri" w:eastAsia="Times New Roman" w:hAnsi="Calibri" w:cs="Calibri"/>
                <w:color w:val="00B050"/>
                <w:sz w:val="14"/>
                <w:szCs w:val="14"/>
                <w:lang w:eastAsia="de-DE"/>
              </w:rPr>
            </w:pPr>
          </w:p>
        </w:tc>
        <w:tc>
          <w:tcPr>
            <w:tcW w:w="796" w:type="dxa"/>
            <w:tcBorders>
              <w:top w:val="nil"/>
              <w:left w:val="nil"/>
              <w:bottom w:val="single" w:sz="8" w:space="0" w:color="707070"/>
              <w:right w:val="nil"/>
            </w:tcBorders>
            <w:noWrap/>
            <w:vAlign w:val="center"/>
            <w:hideMark/>
          </w:tcPr>
          <w:p w14:paraId="08EE1531" w14:textId="7619697C" w:rsidR="00501E46" w:rsidRPr="00647DAD" w:rsidRDefault="00501E46" w:rsidP="00513A7C">
            <w:pPr>
              <w:spacing w:line="240" w:lineRule="auto"/>
              <w:jc w:val="right"/>
              <w:rPr>
                <w:rFonts w:ascii="Calibri" w:eastAsia="Times New Roman" w:hAnsi="Calibri" w:cs="Calibri"/>
                <w:sz w:val="14"/>
                <w:szCs w:val="14"/>
              </w:rPr>
            </w:pPr>
            <w:r>
              <w:rPr>
                <w:rFonts w:ascii="Calibri" w:hAnsi="Calibri"/>
                <w:sz w:val="14"/>
              </w:rPr>
              <w:t>2,961</w:t>
            </w:r>
          </w:p>
        </w:tc>
        <w:tc>
          <w:tcPr>
            <w:tcW w:w="161" w:type="dxa"/>
            <w:tcBorders>
              <w:top w:val="nil"/>
              <w:left w:val="nil"/>
              <w:right w:val="nil"/>
            </w:tcBorders>
          </w:tcPr>
          <w:p w14:paraId="30AFC035" w14:textId="77777777" w:rsidR="00501E46" w:rsidRPr="00647DAD" w:rsidRDefault="00501E46" w:rsidP="00513A7C">
            <w:pPr>
              <w:spacing w:line="240" w:lineRule="auto"/>
              <w:jc w:val="right"/>
              <w:rPr>
                <w:rFonts w:ascii="Calibri" w:eastAsia="Times New Roman" w:hAnsi="Calibri" w:cs="Calibri"/>
                <w:sz w:val="14"/>
                <w:szCs w:val="14"/>
                <w:lang w:eastAsia="de-DE"/>
              </w:rPr>
            </w:pPr>
          </w:p>
        </w:tc>
        <w:tc>
          <w:tcPr>
            <w:tcW w:w="1752" w:type="dxa"/>
            <w:tcBorders>
              <w:top w:val="nil"/>
              <w:left w:val="nil"/>
              <w:bottom w:val="single" w:sz="8" w:space="0" w:color="707070"/>
              <w:right w:val="nil"/>
            </w:tcBorders>
          </w:tcPr>
          <w:p w14:paraId="616D8F10" w14:textId="77777777" w:rsidR="00501E46" w:rsidRPr="00647DAD" w:rsidRDefault="00501E46" w:rsidP="00513A7C">
            <w:pPr>
              <w:spacing w:line="240" w:lineRule="auto"/>
              <w:jc w:val="right"/>
              <w:rPr>
                <w:rFonts w:ascii="Calibri" w:eastAsia="Times New Roman" w:hAnsi="Calibri" w:cs="Calibri"/>
                <w:sz w:val="14"/>
                <w:szCs w:val="14"/>
              </w:rPr>
            </w:pPr>
            <w:r>
              <w:rPr>
                <w:rFonts w:ascii="Calibri" w:hAnsi="Calibri"/>
                <w:sz w:val="14"/>
              </w:rPr>
              <w:t>2.6</w:t>
            </w:r>
          </w:p>
        </w:tc>
      </w:tr>
      <w:tr w:rsidR="00501E46" w14:paraId="179C35FF" w14:textId="77777777" w:rsidTr="00501E46">
        <w:trPr>
          <w:trHeight w:val="300"/>
        </w:trPr>
        <w:tc>
          <w:tcPr>
            <w:tcW w:w="1984" w:type="dxa"/>
            <w:tcBorders>
              <w:top w:val="nil"/>
              <w:left w:val="nil"/>
              <w:bottom w:val="single" w:sz="8" w:space="0" w:color="707070"/>
              <w:right w:val="nil"/>
            </w:tcBorders>
            <w:noWrap/>
            <w:vAlign w:val="center"/>
            <w:hideMark/>
          </w:tcPr>
          <w:p w14:paraId="6FDF11CD" w14:textId="77777777" w:rsidR="00501E46" w:rsidRDefault="00501E46" w:rsidP="00513A7C">
            <w:pPr>
              <w:spacing w:line="240" w:lineRule="auto"/>
              <w:rPr>
                <w:rFonts w:ascii="Calibri" w:eastAsia="Times New Roman" w:hAnsi="Calibri" w:cs="Calibri"/>
                <w:sz w:val="12"/>
                <w:szCs w:val="12"/>
              </w:rPr>
            </w:pPr>
            <w:r>
              <w:rPr>
                <w:rFonts w:ascii="Calibri" w:hAnsi="Calibri"/>
                <w:sz w:val="12"/>
              </w:rPr>
              <w:t>• at constant currency</w:t>
            </w:r>
          </w:p>
        </w:tc>
        <w:tc>
          <w:tcPr>
            <w:tcW w:w="163" w:type="dxa"/>
            <w:tcBorders>
              <w:top w:val="nil"/>
              <w:left w:val="nil"/>
              <w:bottom w:val="nil"/>
              <w:right w:val="nil"/>
            </w:tcBorders>
            <w:noWrap/>
            <w:vAlign w:val="bottom"/>
            <w:hideMark/>
          </w:tcPr>
          <w:p w14:paraId="5BBAD497" w14:textId="77777777" w:rsidR="00501E46" w:rsidRDefault="00501E46" w:rsidP="00513A7C">
            <w:pPr>
              <w:spacing w:line="240" w:lineRule="auto"/>
              <w:rPr>
                <w:rFonts w:ascii="Calibri" w:eastAsia="Times New Roman" w:hAnsi="Calibri" w:cs="Calibri"/>
                <w:sz w:val="12"/>
                <w:szCs w:val="12"/>
                <w:lang w:eastAsia="de-DE"/>
              </w:rPr>
            </w:pPr>
          </w:p>
        </w:tc>
        <w:tc>
          <w:tcPr>
            <w:tcW w:w="794" w:type="dxa"/>
            <w:tcBorders>
              <w:top w:val="nil"/>
              <w:left w:val="nil"/>
              <w:bottom w:val="single" w:sz="8" w:space="0" w:color="707070"/>
              <w:right w:val="nil"/>
            </w:tcBorders>
            <w:noWrap/>
            <w:vAlign w:val="center"/>
            <w:hideMark/>
          </w:tcPr>
          <w:p w14:paraId="297A8D15" w14:textId="77777777" w:rsidR="00501E46" w:rsidRPr="00647DAD" w:rsidRDefault="00501E46" w:rsidP="00513A7C">
            <w:pPr>
              <w:spacing w:line="240" w:lineRule="auto"/>
              <w:jc w:val="right"/>
              <w:rPr>
                <w:rFonts w:ascii="Calibri" w:eastAsia="Times New Roman" w:hAnsi="Calibri" w:cs="Calibri"/>
                <w:color w:val="00B050"/>
                <w:sz w:val="12"/>
                <w:szCs w:val="12"/>
              </w:rPr>
            </w:pPr>
            <w:r>
              <w:rPr>
                <w:rFonts w:ascii="Calibri" w:hAnsi="Calibri"/>
                <w:color w:val="00B050"/>
                <w:sz w:val="12"/>
              </w:rPr>
              <w:t> </w:t>
            </w:r>
          </w:p>
        </w:tc>
        <w:tc>
          <w:tcPr>
            <w:tcW w:w="162" w:type="dxa"/>
            <w:tcBorders>
              <w:top w:val="nil"/>
              <w:left w:val="nil"/>
              <w:bottom w:val="nil"/>
              <w:right w:val="nil"/>
            </w:tcBorders>
            <w:noWrap/>
            <w:vAlign w:val="bottom"/>
            <w:hideMark/>
          </w:tcPr>
          <w:p w14:paraId="5D832B81" w14:textId="77777777" w:rsidR="00501E46" w:rsidRPr="00647DAD" w:rsidRDefault="00501E46" w:rsidP="00513A7C">
            <w:pPr>
              <w:spacing w:line="240" w:lineRule="auto"/>
              <w:jc w:val="right"/>
              <w:rPr>
                <w:rFonts w:ascii="Calibri" w:eastAsia="Times New Roman" w:hAnsi="Calibri" w:cs="Calibri"/>
                <w:color w:val="00B050"/>
                <w:sz w:val="12"/>
                <w:szCs w:val="12"/>
                <w:lang w:eastAsia="de-DE"/>
              </w:rPr>
            </w:pPr>
          </w:p>
        </w:tc>
        <w:tc>
          <w:tcPr>
            <w:tcW w:w="796" w:type="dxa"/>
            <w:tcBorders>
              <w:top w:val="nil"/>
              <w:left w:val="nil"/>
              <w:bottom w:val="single" w:sz="8" w:space="0" w:color="707070"/>
              <w:right w:val="nil"/>
            </w:tcBorders>
            <w:noWrap/>
            <w:vAlign w:val="center"/>
            <w:hideMark/>
          </w:tcPr>
          <w:p w14:paraId="0C28DBA4" w14:textId="77777777" w:rsidR="00501E46" w:rsidRPr="00647DAD" w:rsidRDefault="00501E46" w:rsidP="00513A7C">
            <w:pPr>
              <w:spacing w:line="240" w:lineRule="auto"/>
              <w:jc w:val="right"/>
              <w:rPr>
                <w:rFonts w:ascii="Calibri" w:eastAsia="Times New Roman" w:hAnsi="Calibri" w:cs="Calibri"/>
                <w:sz w:val="12"/>
                <w:szCs w:val="12"/>
                <w:lang w:eastAsia="de-DE"/>
              </w:rPr>
            </w:pPr>
          </w:p>
        </w:tc>
        <w:tc>
          <w:tcPr>
            <w:tcW w:w="161" w:type="dxa"/>
            <w:tcBorders>
              <w:top w:val="nil"/>
              <w:left w:val="nil"/>
              <w:right w:val="nil"/>
            </w:tcBorders>
          </w:tcPr>
          <w:p w14:paraId="167EEC03" w14:textId="77777777" w:rsidR="00501E46" w:rsidRPr="00647DAD" w:rsidRDefault="00501E46" w:rsidP="00513A7C">
            <w:pPr>
              <w:spacing w:line="240" w:lineRule="auto"/>
              <w:jc w:val="right"/>
              <w:rPr>
                <w:rFonts w:ascii="Calibri" w:eastAsia="Times New Roman" w:hAnsi="Calibri" w:cs="Calibri"/>
                <w:sz w:val="12"/>
                <w:szCs w:val="12"/>
                <w:lang w:eastAsia="de-DE"/>
              </w:rPr>
            </w:pPr>
          </w:p>
        </w:tc>
        <w:tc>
          <w:tcPr>
            <w:tcW w:w="1752" w:type="dxa"/>
            <w:tcBorders>
              <w:top w:val="nil"/>
              <w:left w:val="nil"/>
              <w:bottom w:val="single" w:sz="8" w:space="0" w:color="707070"/>
              <w:right w:val="nil"/>
            </w:tcBorders>
          </w:tcPr>
          <w:p w14:paraId="1E30E2DE" w14:textId="77777777" w:rsidR="00501E46" w:rsidRPr="00647DAD" w:rsidRDefault="00501E46" w:rsidP="00513A7C">
            <w:pPr>
              <w:spacing w:line="240" w:lineRule="auto"/>
              <w:jc w:val="right"/>
              <w:rPr>
                <w:rFonts w:ascii="Calibri" w:eastAsia="Times New Roman" w:hAnsi="Calibri" w:cs="Calibri"/>
                <w:sz w:val="12"/>
                <w:szCs w:val="12"/>
              </w:rPr>
            </w:pPr>
            <w:r>
              <w:rPr>
                <w:rFonts w:ascii="Calibri" w:hAnsi="Calibri"/>
                <w:sz w:val="12"/>
              </w:rPr>
              <w:t>5.0</w:t>
            </w:r>
          </w:p>
        </w:tc>
      </w:tr>
      <w:tr w:rsidR="00501E46" w14:paraId="69423F2B" w14:textId="77777777" w:rsidTr="00501E46">
        <w:trPr>
          <w:trHeight w:val="300"/>
        </w:trPr>
        <w:tc>
          <w:tcPr>
            <w:tcW w:w="1984" w:type="dxa"/>
            <w:tcBorders>
              <w:top w:val="nil"/>
              <w:left w:val="nil"/>
              <w:bottom w:val="single" w:sz="8" w:space="0" w:color="707070"/>
              <w:right w:val="nil"/>
            </w:tcBorders>
            <w:noWrap/>
            <w:vAlign w:val="center"/>
            <w:hideMark/>
          </w:tcPr>
          <w:p w14:paraId="5ED030CE" w14:textId="77777777" w:rsidR="00501E46" w:rsidRDefault="00501E46" w:rsidP="00513A7C">
            <w:pPr>
              <w:spacing w:line="240" w:lineRule="auto"/>
              <w:rPr>
                <w:rFonts w:ascii="Calibri" w:eastAsia="Times New Roman" w:hAnsi="Calibri" w:cs="Calibri"/>
                <w:sz w:val="14"/>
                <w:szCs w:val="14"/>
              </w:rPr>
            </w:pPr>
            <w:r>
              <w:rPr>
                <w:rFonts w:ascii="Calibri" w:hAnsi="Calibri"/>
                <w:sz w:val="14"/>
              </w:rPr>
              <w:t>EBIT before special items</w:t>
            </w:r>
            <w:r>
              <w:rPr>
                <w:rFonts w:ascii="Calibri" w:hAnsi="Calibri"/>
                <w:sz w:val="14"/>
                <w:vertAlign w:val="superscript"/>
              </w:rPr>
              <w:t>1</w:t>
            </w:r>
          </w:p>
        </w:tc>
        <w:tc>
          <w:tcPr>
            <w:tcW w:w="163" w:type="dxa"/>
            <w:tcBorders>
              <w:top w:val="nil"/>
              <w:left w:val="nil"/>
              <w:bottom w:val="nil"/>
              <w:right w:val="nil"/>
            </w:tcBorders>
            <w:noWrap/>
            <w:vAlign w:val="bottom"/>
            <w:hideMark/>
          </w:tcPr>
          <w:p w14:paraId="73ED3F60" w14:textId="77777777" w:rsidR="00501E46" w:rsidRDefault="00501E46" w:rsidP="00513A7C">
            <w:pPr>
              <w:spacing w:line="240" w:lineRule="auto"/>
              <w:rPr>
                <w:rFonts w:ascii="Calibri" w:eastAsia="Times New Roman" w:hAnsi="Calibri" w:cs="Calibri"/>
                <w:sz w:val="14"/>
                <w:szCs w:val="14"/>
                <w:lang w:eastAsia="de-DE"/>
              </w:rPr>
            </w:pPr>
          </w:p>
        </w:tc>
        <w:tc>
          <w:tcPr>
            <w:tcW w:w="794" w:type="dxa"/>
            <w:tcBorders>
              <w:top w:val="nil"/>
              <w:left w:val="nil"/>
              <w:bottom w:val="single" w:sz="8" w:space="0" w:color="707070"/>
              <w:right w:val="nil"/>
            </w:tcBorders>
            <w:noWrap/>
            <w:vAlign w:val="center"/>
            <w:hideMark/>
          </w:tcPr>
          <w:p w14:paraId="6FA53F55" w14:textId="57754AA0" w:rsidR="00501E46" w:rsidRPr="00647DAD" w:rsidRDefault="002B0D36" w:rsidP="00513A7C">
            <w:pPr>
              <w:spacing w:line="240" w:lineRule="auto"/>
              <w:jc w:val="right"/>
              <w:rPr>
                <w:rFonts w:ascii="Calibri" w:eastAsia="Times New Roman" w:hAnsi="Calibri" w:cs="Calibri"/>
                <w:color w:val="00B050"/>
                <w:sz w:val="14"/>
                <w:szCs w:val="14"/>
              </w:rPr>
            </w:pPr>
            <w:r>
              <w:rPr>
                <w:rFonts w:ascii="Calibri" w:hAnsi="Calibri"/>
                <w:color w:val="00B050"/>
                <w:sz w:val="14"/>
              </w:rPr>
              <w:t>450</w:t>
            </w:r>
          </w:p>
        </w:tc>
        <w:tc>
          <w:tcPr>
            <w:tcW w:w="162" w:type="dxa"/>
            <w:tcBorders>
              <w:top w:val="nil"/>
              <w:left w:val="nil"/>
              <w:bottom w:val="nil"/>
              <w:right w:val="nil"/>
            </w:tcBorders>
            <w:noWrap/>
            <w:vAlign w:val="bottom"/>
            <w:hideMark/>
          </w:tcPr>
          <w:p w14:paraId="317B8AA7" w14:textId="77777777" w:rsidR="00501E46" w:rsidRPr="00647DAD" w:rsidRDefault="00501E46" w:rsidP="00513A7C">
            <w:pPr>
              <w:spacing w:line="240" w:lineRule="auto"/>
              <w:jc w:val="right"/>
              <w:rPr>
                <w:rFonts w:ascii="Calibri" w:eastAsia="Times New Roman" w:hAnsi="Calibri" w:cs="Calibri"/>
                <w:color w:val="00B050"/>
                <w:sz w:val="14"/>
                <w:szCs w:val="14"/>
                <w:lang w:eastAsia="de-DE"/>
              </w:rPr>
            </w:pPr>
          </w:p>
        </w:tc>
        <w:tc>
          <w:tcPr>
            <w:tcW w:w="796" w:type="dxa"/>
            <w:tcBorders>
              <w:top w:val="nil"/>
              <w:left w:val="nil"/>
              <w:bottom w:val="single" w:sz="8" w:space="0" w:color="707070"/>
              <w:right w:val="nil"/>
            </w:tcBorders>
            <w:noWrap/>
            <w:vAlign w:val="center"/>
            <w:hideMark/>
          </w:tcPr>
          <w:p w14:paraId="6B82FC5C" w14:textId="3DE3FE8A" w:rsidR="00501E46" w:rsidRPr="00647DAD" w:rsidRDefault="002B0D36" w:rsidP="00513A7C">
            <w:pPr>
              <w:spacing w:line="240" w:lineRule="auto"/>
              <w:jc w:val="right"/>
              <w:rPr>
                <w:rFonts w:ascii="Calibri" w:eastAsia="Times New Roman" w:hAnsi="Calibri" w:cs="Calibri"/>
                <w:sz w:val="14"/>
                <w:szCs w:val="14"/>
              </w:rPr>
            </w:pPr>
            <w:r>
              <w:rPr>
                <w:rFonts w:ascii="Calibri" w:hAnsi="Calibri"/>
                <w:sz w:val="14"/>
              </w:rPr>
              <w:t>440</w:t>
            </w:r>
          </w:p>
        </w:tc>
        <w:tc>
          <w:tcPr>
            <w:tcW w:w="161" w:type="dxa"/>
            <w:tcBorders>
              <w:top w:val="nil"/>
              <w:left w:val="nil"/>
              <w:right w:val="nil"/>
            </w:tcBorders>
          </w:tcPr>
          <w:p w14:paraId="1B185181" w14:textId="77777777" w:rsidR="00501E46" w:rsidRPr="00647DAD" w:rsidRDefault="00501E46" w:rsidP="00513A7C">
            <w:pPr>
              <w:spacing w:line="240" w:lineRule="auto"/>
              <w:jc w:val="right"/>
              <w:rPr>
                <w:rFonts w:ascii="Calibri" w:eastAsia="Times New Roman" w:hAnsi="Calibri" w:cs="Calibri"/>
                <w:sz w:val="14"/>
                <w:szCs w:val="14"/>
                <w:lang w:eastAsia="de-DE"/>
              </w:rPr>
            </w:pPr>
          </w:p>
        </w:tc>
        <w:tc>
          <w:tcPr>
            <w:tcW w:w="1752" w:type="dxa"/>
            <w:tcBorders>
              <w:top w:val="nil"/>
              <w:left w:val="nil"/>
              <w:bottom w:val="single" w:sz="8" w:space="0" w:color="707070"/>
              <w:right w:val="nil"/>
            </w:tcBorders>
          </w:tcPr>
          <w:p w14:paraId="0EFB93EA" w14:textId="7EFEFE3B" w:rsidR="00501E46" w:rsidRPr="00647DAD" w:rsidRDefault="002B0D36" w:rsidP="00513A7C">
            <w:pPr>
              <w:spacing w:line="240" w:lineRule="auto"/>
              <w:jc w:val="right"/>
              <w:rPr>
                <w:rFonts w:ascii="Calibri" w:eastAsia="Times New Roman" w:hAnsi="Calibri" w:cs="Calibri"/>
                <w:sz w:val="14"/>
                <w:szCs w:val="14"/>
              </w:rPr>
            </w:pPr>
            <w:r>
              <w:rPr>
                <w:rFonts w:ascii="Calibri" w:hAnsi="Calibri"/>
                <w:sz w:val="14"/>
              </w:rPr>
              <w:t>2.3</w:t>
            </w:r>
          </w:p>
        </w:tc>
      </w:tr>
      <w:tr w:rsidR="00501E46" w14:paraId="543D71E2" w14:textId="77777777" w:rsidTr="00501E46">
        <w:trPr>
          <w:trHeight w:val="300"/>
        </w:trPr>
        <w:tc>
          <w:tcPr>
            <w:tcW w:w="1984" w:type="dxa"/>
            <w:tcBorders>
              <w:top w:val="nil"/>
              <w:left w:val="nil"/>
              <w:bottom w:val="single" w:sz="4" w:space="0" w:color="auto"/>
              <w:right w:val="nil"/>
            </w:tcBorders>
            <w:vAlign w:val="center"/>
            <w:hideMark/>
          </w:tcPr>
          <w:p w14:paraId="2D7E35A8" w14:textId="77777777" w:rsidR="00501E46" w:rsidRDefault="00501E46" w:rsidP="00513A7C">
            <w:pPr>
              <w:spacing w:line="240" w:lineRule="auto"/>
              <w:rPr>
                <w:rFonts w:ascii="Calibri" w:eastAsia="Times New Roman" w:hAnsi="Calibri" w:cs="Calibri"/>
                <w:sz w:val="12"/>
                <w:szCs w:val="12"/>
              </w:rPr>
            </w:pPr>
            <w:r>
              <w:rPr>
                <w:rFonts w:ascii="Calibri" w:hAnsi="Calibri"/>
                <w:sz w:val="12"/>
              </w:rPr>
              <w:t>• in % of revenue</w:t>
            </w:r>
          </w:p>
        </w:tc>
        <w:tc>
          <w:tcPr>
            <w:tcW w:w="163" w:type="dxa"/>
            <w:tcBorders>
              <w:top w:val="nil"/>
              <w:left w:val="nil"/>
              <w:right w:val="nil"/>
            </w:tcBorders>
            <w:noWrap/>
            <w:vAlign w:val="bottom"/>
            <w:hideMark/>
          </w:tcPr>
          <w:p w14:paraId="5DDD2A1F" w14:textId="77777777" w:rsidR="00501E46" w:rsidRDefault="00501E46" w:rsidP="00513A7C">
            <w:pPr>
              <w:spacing w:line="240" w:lineRule="auto"/>
              <w:rPr>
                <w:rFonts w:ascii="Calibri" w:eastAsia="Times New Roman" w:hAnsi="Calibri" w:cs="Calibri"/>
                <w:sz w:val="12"/>
                <w:szCs w:val="12"/>
                <w:lang w:eastAsia="de-DE"/>
              </w:rPr>
            </w:pPr>
          </w:p>
        </w:tc>
        <w:tc>
          <w:tcPr>
            <w:tcW w:w="794" w:type="dxa"/>
            <w:tcBorders>
              <w:top w:val="nil"/>
              <w:left w:val="nil"/>
              <w:bottom w:val="single" w:sz="4" w:space="0" w:color="auto"/>
              <w:right w:val="nil"/>
            </w:tcBorders>
            <w:noWrap/>
            <w:vAlign w:val="center"/>
            <w:hideMark/>
          </w:tcPr>
          <w:p w14:paraId="08A5DB08" w14:textId="78348C01" w:rsidR="00501E46" w:rsidRPr="00647DAD" w:rsidRDefault="00501E46" w:rsidP="00513A7C">
            <w:pPr>
              <w:spacing w:line="240" w:lineRule="auto"/>
              <w:jc w:val="right"/>
              <w:rPr>
                <w:rFonts w:ascii="Calibri" w:eastAsia="Times New Roman" w:hAnsi="Calibri" w:cs="Calibri"/>
                <w:color w:val="00B050"/>
                <w:sz w:val="12"/>
                <w:szCs w:val="12"/>
              </w:rPr>
            </w:pPr>
            <w:r>
              <w:rPr>
                <w:rFonts w:ascii="Calibri" w:hAnsi="Calibri"/>
                <w:color w:val="00B050"/>
                <w:sz w:val="12"/>
              </w:rPr>
              <w:t>14.8</w:t>
            </w:r>
          </w:p>
        </w:tc>
        <w:tc>
          <w:tcPr>
            <w:tcW w:w="162" w:type="dxa"/>
            <w:tcBorders>
              <w:top w:val="nil"/>
              <w:left w:val="nil"/>
              <w:right w:val="nil"/>
            </w:tcBorders>
            <w:noWrap/>
            <w:vAlign w:val="bottom"/>
            <w:hideMark/>
          </w:tcPr>
          <w:p w14:paraId="5DD0675E" w14:textId="77777777" w:rsidR="00501E46" w:rsidRPr="00647DAD" w:rsidRDefault="00501E46" w:rsidP="00513A7C">
            <w:pPr>
              <w:spacing w:line="240" w:lineRule="auto"/>
              <w:jc w:val="right"/>
              <w:rPr>
                <w:rFonts w:ascii="Calibri" w:eastAsia="Times New Roman" w:hAnsi="Calibri" w:cs="Calibri"/>
                <w:color w:val="00B050"/>
                <w:sz w:val="12"/>
                <w:szCs w:val="12"/>
                <w:lang w:eastAsia="de-DE"/>
              </w:rPr>
            </w:pPr>
          </w:p>
        </w:tc>
        <w:tc>
          <w:tcPr>
            <w:tcW w:w="796" w:type="dxa"/>
            <w:tcBorders>
              <w:top w:val="nil"/>
              <w:left w:val="nil"/>
              <w:bottom w:val="single" w:sz="4" w:space="0" w:color="auto"/>
              <w:right w:val="nil"/>
            </w:tcBorders>
            <w:noWrap/>
            <w:vAlign w:val="center"/>
            <w:hideMark/>
          </w:tcPr>
          <w:p w14:paraId="1F1A7A76" w14:textId="2D4130D1" w:rsidR="00501E46" w:rsidRPr="00647DAD" w:rsidRDefault="00501E46" w:rsidP="00513A7C">
            <w:pPr>
              <w:spacing w:line="240" w:lineRule="auto"/>
              <w:jc w:val="right"/>
              <w:rPr>
                <w:rFonts w:ascii="Calibri" w:eastAsia="Times New Roman" w:hAnsi="Calibri" w:cs="Calibri"/>
                <w:sz w:val="12"/>
                <w:szCs w:val="12"/>
              </w:rPr>
            </w:pPr>
            <w:r>
              <w:rPr>
                <w:rFonts w:ascii="Calibri" w:hAnsi="Calibri"/>
                <w:sz w:val="12"/>
              </w:rPr>
              <w:t>14.8</w:t>
            </w:r>
          </w:p>
        </w:tc>
        <w:tc>
          <w:tcPr>
            <w:tcW w:w="161" w:type="dxa"/>
            <w:tcBorders>
              <w:top w:val="nil"/>
              <w:left w:val="nil"/>
              <w:right w:val="nil"/>
            </w:tcBorders>
          </w:tcPr>
          <w:p w14:paraId="55D8B744" w14:textId="77777777" w:rsidR="00501E46" w:rsidRPr="00647DAD" w:rsidRDefault="00501E46" w:rsidP="00513A7C">
            <w:pPr>
              <w:spacing w:line="240" w:lineRule="auto"/>
              <w:jc w:val="right"/>
              <w:rPr>
                <w:rFonts w:ascii="Calibri" w:eastAsia="Times New Roman" w:hAnsi="Calibri" w:cs="Calibri"/>
                <w:sz w:val="12"/>
                <w:szCs w:val="12"/>
                <w:lang w:eastAsia="de-DE"/>
              </w:rPr>
            </w:pPr>
          </w:p>
        </w:tc>
        <w:tc>
          <w:tcPr>
            <w:tcW w:w="1752" w:type="dxa"/>
            <w:tcBorders>
              <w:top w:val="nil"/>
              <w:left w:val="nil"/>
              <w:bottom w:val="single" w:sz="4" w:space="0" w:color="auto"/>
              <w:right w:val="nil"/>
            </w:tcBorders>
          </w:tcPr>
          <w:p w14:paraId="75FB8098" w14:textId="77777777" w:rsidR="00501E46" w:rsidRPr="00647DAD" w:rsidRDefault="00501E46" w:rsidP="00513A7C">
            <w:pPr>
              <w:spacing w:line="240" w:lineRule="auto"/>
              <w:jc w:val="right"/>
              <w:rPr>
                <w:rFonts w:ascii="Calibri" w:eastAsia="Times New Roman" w:hAnsi="Calibri" w:cs="Calibri"/>
                <w:sz w:val="12"/>
                <w:szCs w:val="12"/>
              </w:rPr>
            </w:pPr>
            <w:r>
              <w:rPr>
                <w:rFonts w:ascii="Calibri" w:hAnsi="Calibri"/>
                <w:sz w:val="12"/>
              </w:rPr>
              <w:t>-</w:t>
            </w:r>
          </w:p>
        </w:tc>
      </w:tr>
      <w:tr w:rsidR="00501E46" w14:paraId="1055D7CD" w14:textId="77777777" w:rsidTr="00501E46">
        <w:trPr>
          <w:trHeight w:val="300"/>
        </w:trPr>
        <w:tc>
          <w:tcPr>
            <w:tcW w:w="1984" w:type="dxa"/>
            <w:tcBorders>
              <w:top w:val="single" w:sz="4" w:space="0" w:color="auto"/>
              <w:left w:val="nil"/>
              <w:bottom w:val="single" w:sz="8" w:space="0" w:color="878787" w:themeColor="accent1"/>
              <w:right w:val="nil"/>
            </w:tcBorders>
            <w:vAlign w:val="center"/>
          </w:tcPr>
          <w:p w14:paraId="5446CA56" w14:textId="77777777" w:rsidR="00501E46" w:rsidRDefault="00501E46" w:rsidP="00513A7C">
            <w:pPr>
              <w:spacing w:line="240" w:lineRule="auto"/>
              <w:rPr>
                <w:rFonts w:ascii="Calibri" w:eastAsia="Times New Roman" w:hAnsi="Calibri" w:cs="Calibri"/>
                <w:sz w:val="12"/>
                <w:szCs w:val="12"/>
              </w:rPr>
            </w:pPr>
            <w:r>
              <w:rPr>
                <w:rFonts w:ascii="Calibri" w:hAnsi="Calibri"/>
                <w:b/>
                <w:sz w:val="14"/>
              </w:rPr>
              <w:t>Bearings &amp; Industrial Solutions</w:t>
            </w:r>
          </w:p>
        </w:tc>
        <w:tc>
          <w:tcPr>
            <w:tcW w:w="163" w:type="dxa"/>
            <w:tcBorders>
              <w:top w:val="nil"/>
              <w:left w:val="nil"/>
              <w:right w:val="nil"/>
            </w:tcBorders>
            <w:noWrap/>
            <w:vAlign w:val="bottom"/>
          </w:tcPr>
          <w:p w14:paraId="3ACD19E9" w14:textId="77777777" w:rsidR="00501E46" w:rsidRDefault="00501E46" w:rsidP="00513A7C">
            <w:pPr>
              <w:spacing w:line="240" w:lineRule="auto"/>
              <w:rPr>
                <w:rFonts w:ascii="Calibri" w:eastAsia="Times New Roman" w:hAnsi="Calibri" w:cs="Calibri"/>
                <w:sz w:val="12"/>
                <w:szCs w:val="12"/>
                <w:lang w:eastAsia="de-DE"/>
              </w:rPr>
            </w:pPr>
          </w:p>
        </w:tc>
        <w:tc>
          <w:tcPr>
            <w:tcW w:w="794" w:type="dxa"/>
            <w:tcBorders>
              <w:top w:val="single" w:sz="4" w:space="0" w:color="auto"/>
              <w:left w:val="nil"/>
              <w:right w:val="nil"/>
            </w:tcBorders>
            <w:noWrap/>
            <w:vAlign w:val="center"/>
          </w:tcPr>
          <w:p w14:paraId="6967E339" w14:textId="77777777" w:rsidR="00501E46" w:rsidRPr="00647DAD" w:rsidRDefault="00501E46" w:rsidP="00513A7C">
            <w:pPr>
              <w:spacing w:line="240" w:lineRule="auto"/>
              <w:jc w:val="right"/>
              <w:rPr>
                <w:rFonts w:ascii="Calibri" w:eastAsia="Times New Roman" w:hAnsi="Calibri" w:cs="Calibri"/>
                <w:color w:val="00B050"/>
                <w:sz w:val="12"/>
                <w:szCs w:val="12"/>
                <w:lang w:eastAsia="de-DE"/>
              </w:rPr>
            </w:pPr>
          </w:p>
        </w:tc>
        <w:tc>
          <w:tcPr>
            <w:tcW w:w="162" w:type="dxa"/>
            <w:tcBorders>
              <w:top w:val="nil"/>
              <w:left w:val="nil"/>
              <w:right w:val="nil"/>
            </w:tcBorders>
            <w:noWrap/>
            <w:vAlign w:val="bottom"/>
          </w:tcPr>
          <w:p w14:paraId="5184EAE8" w14:textId="77777777" w:rsidR="00501E46" w:rsidRPr="00647DAD" w:rsidRDefault="00501E46" w:rsidP="00513A7C">
            <w:pPr>
              <w:spacing w:line="240" w:lineRule="auto"/>
              <w:jc w:val="right"/>
              <w:rPr>
                <w:rFonts w:ascii="Calibri" w:eastAsia="Times New Roman" w:hAnsi="Calibri" w:cs="Calibri"/>
                <w:color w:val="00B050"/>
                <w:sz w:val="12"/>
                <w:szCs w:val="12"/>
                <w:lang w:eastAsia="de-DE"/>
              </w:rPr>
            </w:pPr>
          </w:p>
        </w:tc>
        <w:tc>
          <w:tcPr>
            <w:tcW w:w="796" w:type="dxa"/>
            <w:tcBorders>
              <w:top w:val="single" w:sz="4" w:space="0" w:color="auto"/>
              <w:left w:val="nil"/>
              <w:right w:val="nil"/>
            </w:tcBorders>
            <w:noWrap/>
            <w:vAlign w:val="center"/>
          </w:tcPr>
          <w:p w14:paraId="7334A104" w14:textId="77777777" w:rsidR="00501E46" w:rsidRPr="00647DAD" w:rsidRDefault="00501E46" w:rsidP="00513A7C">
            <w:pPr>
              <w:spacing w:line="240" w:lineRule="auto"/>
              <w:jc w:val="right"/>
              <w:rPr>
                <w:rFonts w:ascii="Calibri" w:eastAsia="Times New Roman" w:hAnsi="Calibri" w:cs="Calibri"/>
                <w:sz w:val="12"/>
                <w:szCs w:val="12"/>
                <w:lang w:eastAsia="de-DE"/>
              </w:rPr>
            </w:pPr>
          </w:p>
        </w:tc>
        <w:tc>
          <w:tcPr>
            <w:tcW w:w="161" w:type="dxa"/>
            <w:tcBorders>
              <w:left w:val="nil"/>
              <w:right w:val="nil"/>
            </w:tcBorders>
          </w:tcPr>
          <w:p w14:paraId="45121562" w14:textId="77777777" w:rsidR="00501E46" w:rsidRPr="00647DAD" w:rsidRDefault="00501E46" w:rsidP="00513A7C">
            <w:pPr>
              <w:spacing w:line="240" w:lineRule="auto"/>
              <w:jc w:val="right"/>
              <w:rPr>
                <w:rFonts w:ascii="Calibri" w:eastAsia="Times New Roman" w:hAnsi="Calibri" w:cs="Calibri"/>
                <w:sz w:val="12"/>
                <w:szCs w:val="12"/>
                <w:lang w:eastAsia="de-DE"/>
              </w:rPr>
            </w:pPr>
          </w:p>
        </w:tc>
        <w:tc>
          <w:tcPr>
            <w:tcW w:w="1752" w:type="dxa"/>
            <w:tcBorders>
              <w:top w:val="single" w:sz="4" w:space="0" w:color="auto"/>
              <w:left w:val="nil"/>
              <w:right w:val="nil"/>
            </w:tcBorders>
          </w:tcPr>
          <w:p w14:paraId="61CB1F0D" w14:textId="77777777" w:rsidR="00501E46" w:rsidRPr="00647DAD" w:rsidRDefault="00501E46" w:rsidP="00513A7C">
            <w:pPr>
              <w:spacing w:line="240" w:lineRule="auto"/>
              <w:jc w:val="right"/>
              <w:rPr>
                <w:rFonts w:ascii="Calibri" w:eastAsia="Times New Roman" w:hAnsi="Calibri" w:cs="Calibri"/>
                <w:sz w:val="12"/>
                <w:szCs w:val="12"/>
                <w:lang w:eastAsia="de-DE"/>
              </w:rPr>
            </w:pPr>
          </w:p>
        </w:tc>
      </w:tr>
      <w:tr w:rsidR="00501E46" w:rsidRPr="001722AD" w14:paraId="5BD3B0D1" w14:textId="77777777" w:rsidTr="00501E46">
        <w:trPr>
          <w:trHeight w:val="300"/>
        </w:trPr>
        <w:tc>
          <w:tcPr>
            <w:tcW w:w="1984" w:type="dxa"/>
            <w:tcBorders>
              <w:top w:val="single" w:sz="8" w:space="0" w:color="878787" w:themeColor="accent1"/>
              <w:left w:val="nil"/>
              <w:bottom w:val="single" w:sz="8" w:space="0" w:color="878787" w:themeColor="accent1"/>
              <w:right w:val="nil"/>
            </w:tcBorders>
            <w:vAlign w:val="center"/>
          </w:tcPr>
          <w:p w14:paraId="48448A78" w14:textId="77777777" w:rsidR="00501E46" w:rsidRPr="00C5648A" w:rsidRDefault="00501E46" w:rsidP="00513A7C">
            <w:pPr>
              <w:spacing w:line="240" w:lineRule="auto"/>
              <w:rPr>
                <w:rFonts w:ascii="Calibri" w:eastAsia="Times New Roman" w:hAnsi="Calibri" w:cs="Calibri"/>
                <w:b/>
                <w:bCs/>
                <w:sz w:val="14"/>
                <w:szCs w:val="14"/>
              </w:rPr>
            </w:pPr>
            <w:r>
              <w:rPr>
                <w:rFonts w:ascii="Calibri" w:hAnsi="Calibri"/>
                <w:sz w:val="14"/>
              </w:rPr>
              <w:lastRenderedPageBreak/>
              <w:t>Revenue</w:t>
            </w:r>
          </w:p>
        </w:tc>
        <w:tc>
          <w:tcPr>
            <w:tcW w:w="163" w:type="dxa"/>
            <w:tcBorders>
              <w:top w:val="nil"/>
              <w:left w:val="nil"/>
              <w:right w:val="nil"/>
            </w:tcBorders>
            <w:noWrap/>
            <w:vAlign w:val="bottom"/>
          </w:tcPr>
          <w:p w14:paraId="088103E0" w14:textId="77777777" w:rsidR="00501E46" w:rsidRDefault="00501E46" w:rsidP="00513A7C">
            <w:pPr>
              <w:spacing w:line="240" w:lineRule="auto"/>
              <w:rPr>
                <w:rFonts w:ascii="Calibri" w:eastAsia="Times New Roman" w:hAnsi="Calibri" w:cs="Calibri"/>
                <w:sz w:val="12"/>
                <w:szCs w:val="12"/>
                <w:lang w:eastAsia="de-DE"/>
              </w:rPr>
            </w:pPr>
          </w:p>
        </w:tc>
        <w:tc>
          <w:tcPr>
            <w:tcW w:w="794" w:type="dxa"/>
            <w:tcBorders>
              <w:left w:val="nil"/>
              <w:bottom w:val="single" w:sz="8" w:space="0" w:color="878787" w:themeColor="accent1"/>
              <w:right w:val="nil"/>
            </w:tcBorders>
            <w:noWrap/>
            <w:vAlign w:val="center"/>
          </w:tcPr>
          <w:p w14:paraId="587E5987" w14:textId="5BA2ED5B" w:rsidR="00501E46" w:rsidRPr="00647DAD" w:rsidRDefault="007021F2" w:rsidP="00513A7C">
            <w:pPr>
              <w:spacing w:line="240" w:lineRule="auto"/>
              <w:jc w:val="right"/>
              <w:rPr>
                <w:rFonts w:ascii="Calibri" w:eastAsia="Times New Roman" w:hAnsi="Calibri" w:cs="Calibri"/>
                <w:color w:val="00B050"/>
                <w:sz w:val="14"/>
                <w:szCs w:val="14"/>
              </w:rPr>
            </w:pPr>
            <w:r>
              <w:rPr>
                <w:rFonts w:ascii="Calibri" w:hAnsi="Calibri"/>
                <w:color w:val="00B050"/>
                <w:sz w:val="14"/>
              </w:rPr>
              <w:t>6,368</w:t>
            </w:r>
          </w:p>
        </w:tc>
        <w:tc>
          <w:tcPr>
            <w:tcW w:w="162" w:type="dxa"/>
            <w:tcBorders>
              <w:left w:val="nil"/>
              <w:right w:val="nil"/>
            </w:tcBorders>
            <w:noWrap/>
            <w:vAlign w:val="bottom"/>
          </w:tcPr>
          <w:p w14:paraId="023D6FE1" w14:textId="77777777" w:rsidR="00501E46" w:rsidRPr="00647DAD" w:rsidRDefault="00501E46" w:rsidP="00513A7C">
            <w:pPr>
              <w:spacing w:line="240" w:lineRule="auto"/>
              <w:jc w:val="right"/>
              <w:rPr>
                <w:rFonts w:ascii="Calibri" w:eastAsia="Times New Roman" w:hAnsi="Calibri" w:cs="Calibri"/>
                <w:color w:val="00B050"/>
                <w:sz w:val="12"/>
                <w:szCs w:val="12"/>
                <w:lang w:eastAsia="de-DE"/>
              </w:rPr>
            </w:pPr>
          </w:p>
        </w:tc>
        <w:tc>
          <w:tcPr>
            <w:tcW w:w="796" w:type="dxa"/>
            <w:tcBorders>
              <w:top w:val="nil"/>
              <w:left w:val="nil"/>
              <w:bottom w:val="single" w:sz="8" w:space="0" w:color="878787" w:themeColor="accent1"/>
              <w:right w:val="nil"/>
            </w:tcBorders>
            <w:noWrap/>
            <w:vAlign w:val="center"/>
          </w:tcPr>
          <w:p w14:paraId="09F9CA6E" w14:textId="77341193" w:rsidR="00501E46" w:rsidRPr="00647DAD" w:rsidRDefault="007021F2" w:rsidP="00513A7C">
            <w:pPr>
              <w:spacing w:line="240" w:lineRule="auto"/>
              <w:jc w:val="right"/>
              <w:rPr>
                <w:rFonts w:ascii="Calibri" w:eastAsia="Times New Roman" w:hAnsi="Calibri" w:cs="Calibri"/>
                <w:sz w:val="14"/>
                <w:szCs w:val="14"/>
              </w:rPr>
            </w:pPr>
            <w:r>
              <w:rPr>
                <w:rFonts w:ascii="Calibri" w:hAnsi="Calibri"/>
                <w:sz w:val="14"/>
              </w:rPr>
              <w:t>6,525</w:t>
            </w:r>
          </w:p>
        </w:tc>
        <w:tc>
          <w:tcPr>
            <w:tcW w:w="161" w:type="dxa"/>
            <w:tcBorders>
              <w:top w:val="nil"/>
              <w:left w:val="nil"/>
              <w:right w:val="nil"/>
            </w:tcBorders>
          </w:tcPr>
          <w:p w14:paraId="4ED7A093" w14:textId="77777777" w:rsidR="00501E46" w:rsidRPr="00647DAD" w:rsidRDefault="00501E46" w:rsidP="00513A7C">
            <w:pPr>
              <w:spacing w:line="240" w:lineRule="auto"/>
              <w:jc w:val="right"/>
              <w:rPr>
                <w:rFonts w:ascii="Calibri" w:eastAsia="Times New Roman" w:hAnsi="Calibri" w:cs="Calibri"/>
                <w:sz w:val="14"/>
                <w:szCs w:val="14"/>
                <w:lang w:eastAsia="de-DE"/>
              </w:rPr>
            </w:pPr>
          </w:p>
        </w:tc>
        <w:tc>
          <w:tcPr>
            <w:tcW w:w="1752" w:type="dxa"/>
            <w:tcBorders>
              <w:top w:val="nil"/>
              <w:left w:val="nil"/>
              <w:bottom w:val="single" w:sz="8" w:space="0" w:color="878787" w:themeColor="accent1"/>
              <w:right w:val="nil"/>
            </w:tcBorders>
          </w:tcPr>
          <w:p w14:paraId="4138043B" w14:textId="26D94225" w:rsidR="00501E46" w:rsidRPr="00647DAD" w:rsidRDefault="00501E46" w:rsidP="00513A7C">
            <w:pPr>
              <w:spacing w:line="240" w:lineRule="auto"/>
              <w:jc w:val="right"/>
              <w:rPr>
                <w:rFonts w:ascii="Calibri" w:eastAsia="Times New Roman" w:hAnsi="Calibri" w:cs="Calibri"/>
                <w:sz w:val="14"/>
                <w:szCs w:val="14"/>
              </w:rPr>
            </w:pPr>
            <w:r>
              <w:rPr>
                <w:rFonts w:ascii="Calibri" w:hAnsi="Calibri"/>
                <w:sz w:val="14"/>
              </w:rPr>
              <w:t>-2.4</w:t>
            </w:r>
          </w:p>
        </w:tc>
      </w:tr>
      <w:tr w:rsidR="00501E46" w:rsidRPr="006A643D" w14:paraId="432F8F87" w14:textId="77777777" w:rsidTr="00501E46">
        <w:trPr>
          <w:trHeight w:val="300"/>
        </w:trPr>
        <w:tc>
          <w:tcPr>
            <w:tcW w:w="1984" w:type="dxa"/>
            <w:tcBorders>
              <w:top w:val="single" w:sz="8" w:space="0" w:color="878787" w:themeColor="accent1"/>
              <w:left w:val="nil"/>
              <w:bottom w:val="single" w:sz="8" w:space="0" w:color="878787" w:themeColor="accent1"/>
              <w:right w:val="nil"/>
            </w:tcBorders>
            <w:vAlign w:val="center"/>
          </w:tcPr>
          <w:p w14:paraId="633326A1" w14:textId="77777777" w:rsidR="00501E46" w:rsidRPr="00C5648A" w:rsidRDefault="00501E46" w:rsidP="00513A7C">
            <w:pPr>
              <w:spacing w:line="240" w:lineRule="auto"/>
              <w:rPr>
                <w:rFonts w:ascii="Calibri" w:eastAsia="Times New Roman" w:hAnsi="Calibri" w:cs="Calibri"/>
                <w:sz w:val="14"/>
                <w:szCs w:val="14"/>
              </w:rPr>
            </w:pPr>
            <w:r>
              <w:rPr>
                <w:rFonts w:ascii="Calibri" w:hAnsi="Calibri"/>
                <w:sz w:val="12"/>
              </w:rPr>
              <w:t>•</w:t>
            </w:r>
            <w:r>
              <w:rPr>
                <w:rFonts w:ascii="Calibri" w:hAnsi="Calibri"/>
                <w:sz w:val="14"/>
              </w:rPr>
              <w:t xml:space="preserve"> </w:t>
            </w:r>
            <w:r>
              <w:rPr>
                <w:rFonts w:ascii="Calibri" w:hAnsi="Calibri"/>
                <w:sz w:val="12"/>
              </w:rPr>
              <w:t>at constant currency</w:t>
            </w:r>
          </w:p>
        </w:tc>
        <w:tc>
          <w:tcPr>
            <w:tcW w:w="163" w:type="dxa"/>
            <w:tcBorders>
              <w:top w:val="nil"/>
              <w:left w:val="nil"/>
              <w:right w:val="nil"/>
            </w:tcBorders>
            <w:noWrap/>
            <w:vAlign w:val="bottom"/>
          </w:tcPr>
          <w:p w14:paraId="3C5DCD20" w14:textId="77777777" w:rsidR="00501E46" w:rsidRDefault="00501E46" w:rsidP="00513A7C">
            <w:pPr>
              <w:spacing w:line="240" w:lineRule="auto"/>
              <w:rPr>
                <w:rFonts w:ascii="Calibri" w:eastAsia="Times New Roman" w:hAnsi="Calibri" w:cs="Calibri"/>
                <w:sz w:val="12"/>
                <w:szCs w:val="12"/>
                <w:lang w:eastAsia="de-DE"/>
              </w:rPr>
            </w:pPr>
          </w:p>
        </w:tc>
        <w:tc>
          <w:tcPr>
            <w:tcW w:w="794" w:type="dxa"/>
            <w:tcBorders>
              <w:top w:val="single" w:sz="8" w:space="0" w:color="878787" w:themeColor="accent1"/>
              <w:left w:val="nil"/>
              <w:bottom w:val="single" w:sz="8" w:space="0" w:color="878787" w:themeColor="accent1"/>
              <w:right w:val="nil"/>
            </w:tcBorders>
            <w:noWrap/>
            <w:vAlign w:val="center"/>
          </w:tcPr>
          <w:p w14:paraId="759307E8" w14:textId="77777777" w:rsidR="00501E46" w:rsidRPr="00647DAD" w:rsidRDefault="00501E46" w:rsidP="00513A7C">
            <w:pPr>
              <w:spacing w:line="240" w:lineRule="auto"/>
              <w:jc w:val="right"/>
              <w:rPr>
                <w:rFonts w:ascii="Calibri" w:eastAsia="Times New Roman" w:hAnsi="Calibri" w:cs="Calibri"/>
                <w:color w:val="00B050"/>
                <w:sz w:val="12"/>
                <w:szCs w:val="12"/>
                <w:lang w:eastAsia="de-DE"/>
              </w:rPr>
            </w:pPr>
          </w:p>
        </w:tc>
        <w:tc>
          <w:tcPr>
            <w:tcW w:w="162" w:type="dxa"/>
            <w:tcBorders>
              <w:top w:val="nil"/>
              <w:left w:val="nil"/>
              <w:right w:val="nil"/>
            </w:tcBorders>
            <w:noWrap/>
            <w:vAlign w:val="bottom"/>
          </w:tcPr>
          <w:p w14:paraId="24A353D5" w14:textId="77777777" w:rsidR="00501E46" w:rsidRPr="00647DAD" w:rsidRDefault="00501E46" w:rsidP="00513A7C">
            <w:pPr>
              <w:spacing w:line="240" w:lineRule="auto"/>
              <w:jc w:val="right"/>
              <w:rPr>
                <w:rFonts w:ascii="Calibri" w:eastAsia="Times New Roman" w:hAnsi="Calibri" w:cs="Calibri"/>
                <w:color w:val="00B050"/>
                <w:sz w:val="12"/>
                <w:szCs w:val="12"/>
                <w:lang w:eastAsia="de-DE"/>
              </w:rPr>
            </w:pPr>
          </w:p>
        </w:tc>
        <w:tc>
          <w:tcPr>
            <w:tcW w:w="796" w:type="dxa"/>
            <w:tcBorders>
              <w:top w:val="single" w:sz="8" w:space="0" w:color="878787" w:themeColor="accent1"/>
              <w:left w:val="nil"/>
              <w:bottom w:val="single" w:sz="8" w:space="0" w:color="878787" w:themeColor="accent1"/>
              <w:right w:val="nil"/>
            </w:tcBorders>
            <w:noWrap/>
            <w:vAlign w:val="center"/>
          </w:tcPr>
          <w:p w14:paraId="28D3D24B" w14:textId="77777777" w:rsidR="00501E46" w:rsidRPr="00647DAD" w:rsidRDefault="00501E46" w:rsidP="00513A7C">
            <w:pPr>
              <w:spacing w:line="240" w:lineRule="auto"/>
              <w:jc w:val="right"/>
              <w:rPr>
                <w:rFonts w:ascii="Calibri" w:eastAsia="Times New Roman" w:hAnsi="Calibri" w:cs="Calibri"/>
                <w:sz w:val="12"/>
                <w:szCs w:val="12"/>
                <w:lang w:eastAsia="de-DE"/>
              </w:rPr>
            </w:pPr>
          </w:p>
        </w:tc>
        <w:tc>
          <w:tcPr>
            <w:tcW w:w="161" w:type="dxa"/>
            <w:tcBorders>
              <w:left w:val="nil"/>
              <w:right w:val="nil"/>
            </w:tcBorders>
          </w:tcPr>
          <w:p w14:paraId="61375EC3" w14:textId="77777777" w:rsidR="00501E46" w:rsidRPr="00647DAD" w:rsidRDefault="00501E46" w:rsidP="00513A7C">
            <w:pPr>
              <w:spacing w:line="240" w:lineRule="auto"/>
              <w:jc w:val="right"/>
              <w:rPr>
                <w:rFonts w:ascii="Calibri" w:eastAsia="Times New Roman" w:hAnsi="Calibri" w:cs="Calibri"/>
                <w:sz w:val="12"/>
                <w:szCs w:val="12"/>
                <w:lang w:eastAsia="de-DE"/>
              </w:rPr>
            </w:pPr>
          </w:p>
        </w:tc>
        <w:tc>
          <w:tcPr>
            <w:tcW w:w="1752" w:type="dxa"/>
            <w:tcBorders>
              <w:top w:val="single" w:sz="8" w:space="0" w:color="878787" w:themeColor="accent1"/>
              <w:left w:val="nil"/>
              <w:bottom w:val="single" w:sz="8" w:space="0" w:color="878787" w:themeColor="accent1"/>
              <w:right w:val="nil"/>
            </w:tcBorders>
          </w:tcPr>
          <w:p w14:paraId="243B3EAD" w14:textId="43B22D37" w:rsidR="00501E46" w:rsidRPr="00647DAD" w:rsidRDefault="00501E46" w:rsidP="00513A7C">
            <w:pPr>
              <w:spacing w:line="240" w:lineRule="auto"/>
              <w:jc w:val="right"/>
              <w:rPr>
                <w:rFonts w:ascii="Calibri" w:eastAsia="Times New Roman" w:hAnsi="Calibri" w:cs="Calibri"/>
                <w:sz w:val="12"/>
                <w:szCs w:val="12"/>
              </w:rPr>
            </w:pPr>
            <w:r>
              <w:rPr>
                <w:rFonts w:ascii="Calibri" w:hAnsi="Calibri"/>
                <w:sz w:val="12"/>
              </w:rPr>
              <w:t>0.7</w:t>
            </w:r>
          </w:p>
        </w:tc>
      </w:tr>
      <w:tr w:rsidR="00501E46" w14:paraId="2F19419E" w14:textId="77777777" w:rsidTr="00501E46">
        <w:trPr>
          <w:trHeight w:val="300"/>
        </w:trPr>
        <w:tc>
          <w:tcPr>
            <w:tcW w:w="1984" w:type="dxa"/>
            <w:tcBorders>
              <w:top w:val="single" w:sz="8" w:space="0" w:color="878787" w:themeColor="accent1"/>
              <w:left w:val="nil"/>
              <w:bottom w:val="single" w:sz="8" w:space="0" w:color="878787" w:themeColor="accent1"/>
              <w:right w:val="nil"/>
            </w:tcBorders>
            <w:vAlign w:val="center"/>
          </w:tcPr>
          <w:p w14:paraId="12A209AF" w14:textId="77777777" w:rsidR="00501E46" w:rsidRPr="00C5648A" w:rsidRDefault="00501E46" w:rsidP="00513A7C">
            <w:pPr>
              <w:spacing w:line="240" w:lineRule="auto"/>
              <w:rPr>
                <w:rFonts w:ascii="Calibri" w:eastAsia="Times New Roman" w:hAnsi="Calibri" w:cs="Calibri"/>
                <w:sz w:val="12"/>
                <w:szCs w:val="12"/>
              </w:rPr>
            </w:pPr>
            <w:r>
              <w:rPr>
                <w:rFonts w:ascii="Calibri" w:hAnsi="Calibri"/>
                <w:sz w:val="14"/>
              </w:rPr>
              <w:t>EBIT before special items</w:t>
            </w:r>
            <w:r>
              <w:rPr>
                <w:rFonts w:ascii="Calibri" w:hAnsi="Calibri"/>
                <w:sz w:val="14"/>
                <w:vertAlign w:val="superscript"/>
              </w:rPr>
              <w:t>1</w:t>
            </w:r>
          </w:p>
        </w:tc>
        <w:tc>
          <w:tcPr>
            <w:tcW w:w="163" w:type="dxa"/>
            <w:tcBorders>
              <w:top w:val="nil"/>
              <w:left w:val="nil"/>
              <w:right w:val="nil"/>
            </w:tcBorders>
            <w:noWrap/>
            <w:vAlign w:val="bottom"/>
          </w:tcPr>
          <w:p w14:paraId="6D5A37AB" w14:textId="77777777" w:rsidR="00501E46" w:rsidRDefault="00501E46" w:rsidP="00513A7C">
            <w:pPr>
              <w:spacing w:line="240" w:lineRule="auto"/>
              <w:rPr>
                <w:rFonts w:ascii="Calibri" w:eastAsia="Times New Roman" w:hAnsi="Calibri" w:cs="Calibri"/>
                <w:sz w:val="12"/>
                <w:szCs w:val="12"/>
                <w:lang w:eastAsia="de-DE"/>
              </w:rPr>
            </w:pPr>
          </w:p>
        </w:tc>
        <w:tc>
          <w:tcPr>
            <w:tcW w:w="794" w:type="dxa"/>
            <w:tcBorders>
              <w:top w:val="single" w:sz="8" w:space="0" w:color="878787" w:themeColor="accent1"/>
              <w:left w:val="nil"/>
              <w:bottom w:val="single" w:sz="8" w:space="0" w:color="878787" w:themeColor="accent1"/>
              <w:right w:val="nil"/>
            </w:tcBorders>
            <w:noWrap/>
            <w:vAlign w:val="center"/>
          </w:tcPr>
          <w:p w14:paraId="391684B2" w14:textId="6730FB31" w:rsidR="00501E46" w:rsidRPr="00647DAD" w:rsidRDefault="007021F2" w:rsidP="00513A7C">
            <w:pPr>
              <w:spacing w:line="240" w:lineRule="auto"/>
              <w:jc w:val="right"/>
              <w:rPr>
                <w:rFonts w:ascii="Calibri" w:eastAsia="Times New Roman" w:hAnsi="Calibri" w:cs="Calibri"/>
                <w:color w:val="00B050"/>
                <w:sz w:val="14"/>
                <w:szCs w:val="14"/>
              </w:rPr>
            </w:pPr>
            <w:r>
              <w:rPr>
                <w:rFonts w:ascii="Calibri" w:hAnsi="Calibri"/>
                <w:color w:val="00B050"/>
                <w:sz w:val="14"/>
              </w:rPr>
              <w:t>475</w:t>
            </w:r>
          </w:p>
        </w:tc>
        <w:tc>
          <w:tcPr>
            <w:tcW w:w="162" w:type="dxa"/>
            <w:tcBorders>
              <w:left w:val="nil"/>
              <w:right w:val="nil"/>
            </w:tcBorders>
            <w:noWrap/>
            <w:vAlign w:val="bottom"/>
          </w:tcPr>
          <w:p w14:paraId="2FED77F5" w14:textId="77777777" w:rsidR="00501E46" w:rsidRPr="00647DAD" w:rsidRDefault="00501E46" w:rsidP="00513A7C">
            <w:pPr>
              <w:spacing w:line="240" w:lineRule="auto"/>
              <w:jc w:val="right"/>
              <w:rPr>
                <w:rFonts w:ascii="Calibri" w:eastAsia="Times New Roman" w:hAnsi="Calibri" w:cs="Calibri"/>
                <w:color w:val="00B050"/>
                <w:sz w:val="12"/>
                <w:szCs w:val="12"/>
                <w:lang w:eastAsia="de-DE"/>
              </w:rPr>
            </w:pPr>
          </w:p>
        </w:tc>
        <w:tc>
          <w:tcPr>
            <w:tcW w:w="796" w:type="dxa"/>
            <w:tcBorders>
              <w:top w:val="single" w:sz="8" w:space="0" w:color="878787" w:themeColor="accent1"/>
              <w:left w:val="nil"/>
              <w:bottom w:val="single" w:sz="8" w:space="0" w:color="878787" w:themeColor="accent1"/>
              <w:right w:val="nil"/>
            </w:tcBorders>
            <w:noWrap/>
            <w:vAlign w:val="center"/>
          </w:tcPr>
          <w:p w14:paraId="441FBCEF" w14:textId="5A672611" w:rsidR="00501E46" w:rsidRPr="00647DAD" w:rsidRDefault="007021F2" w:rsidP="00513A7C">
            <w:pPr>
              <w:spacing w:line="240" w:lineRule="auto"/>
              <w:jc w:val="right"/>
              <w:rPr>
                <w:rFonts w:ascii="Calibri" w:eastAsia="Times New Roman" w:hAnsi="Calibri" w:cs="Calibri"/>
                <w:sz w:val="14"/>
                <w:szCs w:val="14"/>
              </w:rPr>
            </w:pPr>
            <w:r>
              <w:rPr>
                <w:rFonts w:ascii="Calibri" w:hAnsi="Calibri"/>
                <w:sz w:val="14"/>
              </w:rPr>
              <w:t>435</w:t>
            </w:r>
          </w:p>
        </w:tc>
        <w:tc>
          <w:tcPr>
            <w:tcW w:w="161" w:type="dxa"/>
            <w:tcBorders>
              <w:left w:val="nil"/>
              <w:right w:val="nil"/>
            </w:tcBorders>
          </w:tcPr>
          <w:p w14:paraId="109FE8E1" w14:textId="77777777" w:rsidR="00501E46" w:rsidRPr="00647DAD" w:rsidRDefault="00501E46" w:rsidP="00513A7C">
            <w:pPr>
              <w:spacing w:line="240" w:lineRule="auto"/>
              <w:jc w:val="right"/>
              <w:rPr>
                <w:rFonts w:ascii="Calibri" w:eastAsia="Times New Roman" w:hAnsi="Calibri" w:cs="Calibri"/>
                <w:sz w:val="14"/>
                <w:szCs w:val="14"/>
                <w:lang w:eastAsia="de-DE"/>
              </w:rPr>
            </w:pPr>
          </w:p>
        </w:tc>
        <w:tc>
          <w:tcPr>
            <w:tcW w:w="1752" w:type="dxa"/>
            <w:tcBorders>
              <w:top w:val="single" w:sz="8" w:space="0" w:color="878787" w:themeColor="accent1"/>
              <w:left w:val="nil"/>
              <w:bottom w:val="single" w:sz="8" w:space="0" w:color="878787" w:themeColor="accent1"/>
              <w:right w:val="nil"/>
            </w:tcBorders>
          </w:tcPr>
          <w:p w14:paraId="61B5C139" w14:textId="10E51FA8" w:rsidR="00501E46" w:rsidRPr="00647DAD" w:rsidRDefault="007021F2" w:rsidP="00513A7C">
            <w:pPr>
              <w:spacing w:line="240" w:lineRule="auto"/>
              <w:jc w:val="right"/>
              <w:rPr>
                <w:rFonts w:ascii="Calibri" w:eastAsia="Times New Roman" w:hAnsi="Calibri" w:cs="Calibri"/>
                <w:sz w:val="14"/>
                <w:szCs w:val="14"/>
              </w:rPr>
            </w:pPr>
            <w:r>
              <w:rPr>
                <w:rFonts w:ascii="Calibri" w:hAnsi="Calibri"/>
                <w:sz w:val="14"/>
              </w:rPr>
              <w:t>9.1</w:t>
            </w:r>
          </w:p>
        </w:tc>
      </w:tr>
      <w:tr w:rsidR="00501E46" w14:paraId="60DFEA36" w14:textId="77777777" w:rsidTr="00501E46">
        <w:trPr>
          <w:trHeight w:val="300"/>
        </w:trPr>
        <w:tc>
          <w:tcPr>
            <w:tcW w:w="1984" w:type="dxa"/>
            <w:tcBorders>
              <w:top w:val="single" w:sz="8" w:space="0" w:color="878787" w:themeColor="accent1"/>
              <w:left w:val="nil"/>
              <w:bottom w:val="single" w:sz="4" w:space="0" w:color="auto"/>
              <w:right w:val="nil"/>
            </w:tcBorders>
            <w:vAlign w:val="center"/>
          </w:tcPr>
          <w:p w14:paraId="76F7165F" w14:textId="77777777" w:rsidR="00501E46" w:rsidRPr="00C5648A" w:rsidRDefault="00501E46" w:rsidP="00513A7C">
            <w:pPr>
              <w:spacing w:line="240" w:lineRule="auto"/>
              <w:rPr>
                <w:rFonts w:ascii="Calibri" w:eastAsia="Times New Roman" w:hAnsi="Calibri" w:cs="Calibri"/>
                <w:sz w:val="14"/>
                <w:szCs w:val="14"/>
              </w:rPr>
            </w:pPr>
            <w:r>
              <w:rPr>
                <w:rFonts w:ascii="Calibri" w:hAnsi="Calibri"/>
                <w:sz w:val="12"/>
              </w:rPr>
              <w:t>• in % of revenue</w:t>
            </w:r>
          </w:p>
        </w:tc>
        <w:tc>
          <w:tcPr>
            <w:tcW w:w="163" w:type="dxa"/>
            <w:tcBorders>
              <w:top w:val="nil"/>
              <w:left w:val="nil"/>
              <w:right w:val="nil"/>
            </w:tcBorders>
            <w:noWrap/>
            <w:vAlign w:val="bottom"/>
          </w:tcPr>
          <w:p w14:paraId="002241C3" w14:textId="77777777" w:rsidR="00501E46" w:rsidRDefault="00501E46" w:rsidP="00513A7C">
            <w:pPr>
              <w:spacing w:line="240" w:lineRule="auto"/>
              <w:rPr>
                <w:rFonts w:ascii="Calibri" w:eastAsia="Times New Roman" w:hAnsi="Calibri" w:cs="Calibri"/>
                <w:sz w:val="12"/>
                <w:szCs w:val="12"/>
                <w:lang w:eastAsia="de-DE"/>
              </w:rPr>
            </w:pPr>
          </w:p>
        </w:tc>
        <w:tc>
          <w:tcPr>
            <w:tcW w:w="794" w:type="dxa"/>
            <w:tcBorders>
              <w:top w:val="single" w:sz="8" w:space="0" w:color="878787" w:themeColor="accent1"/>
              <w:left w:val="nil"/>
              <w:bottom w:val="single" w:sz="4" w:space="0" w:color="auto"/>
              <w:right w:val="nil"/>
            </w:tcBorders>
            <w:noWrap/>
            <w:vAlign w:val="center"/>
          </w:tcPr>
          <w:p w14:paraId="3D418412" w14:textId="69ACA9E3" w:rsidR="00501E46" w:rsidRPr="00647DAD" w:rsidRDefault="00501E46" w:rsidP="00513A7C">
            <w:pPr>
              <w:spacing w:line="240" w:lineRule="auto"/>
              <w:jc w:val="right"/>
              <w:rPr>
                <w:rFonts w:ascii="Calibri" w:eastAsia="Times New Roman" w:hAnsi="Calibri" w:cs="Calibri"/>
                <w:color w:val="00B050"/>
                <w:sz w:val="12"/>
                <w:szCs w:val="12"/>
              </w:rPr>
            </w:pPr>
            <w:r>
              <w:rPr>
                <w:rFonts w:ascii="Calibri" w:hAnsi="Calibri"/>
                <w:color w:val="00B050"/>
                <w:sz w:val="12"/>
              </w:rPr>
              <w:t>7.5</w:t>
            </w:r>
          </w:p>
        </w:tc>
        <w:tc>
          <w:tcPr>
            <w:tcW w:w="162" w:type="dxa"/>
            <w:tcBorders>
              <w:left w:val="nil"/>
              <w:right w:val="nil"/>
            </w:tcBorders>
            <w:noWrap/>
            <w:vAlign w:val="bottom"/>
          </w:tcPr>
          <w:p w14:paraId="15748328" w14:textId="77777777" w:rsidR="00501E46" w:rsidRPr="00647DAD" w:rsidRDefault="00501E46" w:rsidP="00513A7C">
            <w:pPr>
              <w:spacing w:line="240" w:lineRule="auto"/>
              <w:jc w:val="right"/>
              <w:rPr>
                <w:rFonts w:ascii="Calibri" w:eastAsia="Times New Roman" w:hAnsi="Calibri" w:cs="Calibri"/>
                <w:color w:val="00B050"/>
                <w:sz w:val="12"/>
                <w:szCs w:val="12"/>
                <w:lang w:eastAsia="de-DE"/>
              </w:rPr>
            </w:pPr>
          </w:p>
        </w:tc>
        <w:tc>
          <w:tcPr>
            <w:tcW w:w="796" w:type="dxa"/>
            <w:tcBorders>
              <w:top w:val="single" w:sz="8" w:space="0" w:color="878787" w:themeColor="accent1"/>
              <w:left w:val="nil"/>
              <w:bottom w:val="single" w:sz="4" w:space="0" w:color="auto"/>
              <w:right w:val="nil"/>
            </w:tcBorders>
            <w:noWrap/>
            <w:vAlign w:val="center"/>
          </w:tcPr>
          <w:p w14:paraId="31D84483" w14:textId="0E194D0C" w:rsidR="00501E46" w:rsidRPr="00647DAD" w:rsidRDefault="007021F2" w:rsidP="00513A7C">
            <w:pPr>
              <w:spacing w:line="240" w:lineRule="auto"/>
              <w:jc w:val="right"/>
              <w:rPr>
                <w:rFonts w:ascii="Calibri" w:eastAsia="Times New Roman" w:hAnsi="Calibri" w:cs="Calibri"/>
                <w:sz w:val="12"/>
                <w:szCs w:val="12"/>
              </w:rPr>
            </w:pPr>
            <w:r>
              <w:rPr>
                <w:rFonts w:ascii="Calibri" w:hAnsi="Calibri"/>
                <w:sz w:val="12"/>
              </w:rPr>
              <w:t>6.7</w:t>
            </w:r>
          </w:p>
        </w:tc>
        <w:tc>
          <w:tcPr>
            <w:tcW w:w="161" w:type="dxa"/>
            <w:tcBorders>
              <w:left w:val="nil"/>
              <w:right w:val="nil"/>
            </w:tcBorders>
          </w:tcPr>
          <w:p w14:paraId="50C92B28" w14:textId="77777777" w:rsidR="00501E46" w:rsidRPr="00647DAD" w:rsidRDefault="00501E46" w:rsidP="00513A7C">
            <w:pPr>
              <w:spacing w:line="240" w:lineRule="auto"/>
              <w:jc w:val="right"/>
              <w:rPr>
                <w:rFonts w:ascii="Calibri" w:eastAsia="Times New Roman" w:hAnsi="Calibri" w:cs="Calibri"/>
                <w:sz w:val="12"/>
                <w:szCs w:val="12"/>
                <w:lang w:eastAsia="de-DE"/>
              </w:rPr>
            </w:pPr>
          </w:p>
        </w:tc>
        <w:tc>
          <w:tcPr>
            <w:tcW w:w="1752" w:type="dxa"/>
            <w:tcBorders>
              <w:top w:val="single" w:sz="8" w:space="0" w:color="878787" w:themeColor="accent1"/>
              <w:left w:val="nil"/>
              <w:bottom w:val="single" w:sz="4" w:space="0" w:color="auto"/>
              <w:right w:val="nil"/>
            </w:tcBorders>
          </w:tcPr>
          <w:p w14:paraId="50898801" w14:textId="77777777" w:rsidR="00501E46" w:rsidRPr="00647DAD" w:rsidRDefault="00501E46" w:rsidP="00513A7C">
            <w:pPr>
              <w:spacing w:line="240" w:lineRule="auto"/>
              <w:jc w:val="right"/>
              <w:rPr>
                <w:rFonts w:ascii="Calibri" w:eastAsia="Times New Roman" w:hAnsi="Calibri" w:cs="Calibri"/>
                <w:sz w:val="12"/>
                <w:szCs w:val="12"/>
              </w:rPr>
            </w:pPr>
            <w:r>
              <w:rPr>
                <w:rFonts w:ascii="Calibri" w:hAnsi="Calibri"/>
                <w:sz w:val="12"/>
              </w:rPr>
              <w:t>-</w:t>
            </w:r>
          </w:p>
        </w:tc>
      </w:tr>
      <w:tr w:rsidR="00501E46" w14:paraId="03F696D5" w14:textId="77777777" w:rsidTr="00501E46">
        <w:trPr>
          <w:trHeight w:val="300"/>
        </w:trPr>
        <w:tc>
          <w:tcPr>
            <w:tcW w:w="5812" w:type="dxa"/>
            <w:gridSpan w:val="7"/>
            <w:tcBorders>
              <w:left w:val="nil"/>
              <w:bottom w:val="nil"/>
              <w:right w:val="nil"/>
            </w:tcBorders>
          </w:tcPr>
          <w:p w14:paraId="0928F974" w14:textId="4AD85ADD" w:rsidR="00501E46" w:rsidRDefault="00501E46" w:rsidP="00513A7C">
            <w:pPr>
              <w:spacing w:line="240" w:lineRule="auto"/>
              <w:rPr>
                <w:rFonts w:ascii="Calibri" w:eastAsia="Times New Roman" w:hAnsi="Calibri" w:cs="Calibri"/>
                <w:sz w:val="12"/>
                <w:szCs w:val="12"/>
              </w:rPr>
            </w:pPr>
            <w:r>
              <w:rPr>
                <w:rFonts w:ascii="Calibri" w:hAnsi="Calibri"/>
                <w:sz w:val="14"/>
                <w:vertAlign w:val="superscript"/>
              </w:rPr>
              <w:t>1)</w:t>
            </w:r>
            <w:r>
              <w:rPr>
                <w:rFonts w:ascii="Calibri" w:hAnsi="Calibri"/>
                <w:sz w:val="14"/>
              </w:rPr>
              <w:t xml:space="preserve"> </w:t>
            </w:r>
            <w:r>
              <w:rPr>
                <w:rFonts w:ascii="Calibri" w:hAnsi="Calibri"/>
                <w:sz w:val="12"/>
              </w:rPr>
              <w:t xml:space="preserve">Please refer to the 2025 annual report, pp. 23 et seq., for the definition of special items. </w:t>
            </w:r>
            <w:r>
              <w:rPr>
                <w:rFonts w:ascii="Calibri" w:hAnsi="Calibri"/>
                <w:sz w:val="12"/>
              </w:rPr>
              <w:br/>
            </w:r>
            <w:r>
              <w:rPr>
                <w:rFonts w:ascii="Calibri" w:hAnsi="Calibri"/>
                <w:sz w:val="14"/>
                <w:vertAlign w:val="superscript"/>
              </w:rPr>
              <w:t>2)</w:t>
            </w:r>
            <w:r>
              <w:rPr>
                <w:rFonts w:ascii="Calibri" w:hAnsi="Calibri"/>
                <w:sz w:val="14"/>
              </w:rPr>
              <w:t xml:space="preserve"> </w:t>
            </w:r>
            <w:r>
              <w:rPr>
                <w:rFonts w:ascii="Calibri" w:hAnsi="Calibri"/>
                <w:sz w:val="12"/>
              </w:rPr>
              <w:t>Amounts on comparable basis. Please refer to the related discussion in the 2025 annual report, pg. i41.</w:t>
            </w:r>
          </w:p>
        </w:tc>
      </w:tr>
    </w:tbl>
    <w:p w14:paraId="345B79C3" w14:textId="77777777" w:rsidR="00257DD2" w:rsidRPr="00225807" w:rsidRDefault="00257DD2" w:rsidP="003D4968">
      <w:pPr>
        <w:rPr>
          <w:b/>
        </w:rPr>
      </w:pPr>
    </w:p>
    <w:p w14:paraId="0C5DDE6D" w14:textId="0C91FF59" w:rsidR="00D84056" w:rsidRPr="00D84056" w:rsidRDefault="00D84056" w:rsidP="00D84056">
      <w:pPr>
        <w:rPr>
          <w:lang w:val="it-IT"/>
        </w:rPr>
      </w:pPr>
      <w:r w:rsidRPr="00D84056">
        <w:rPr>
          <w:b/>
          <w:lang w:val="it-IT"/>
        </w:rPr>
        <w:t>Nuove aree di crescita</w:t>
      </w:r>
      <w:r w:rsidR="003D4968" w:rsidRPr="00D84056">
        <w:rPr>
          <w:b/>
          <w:lang w:val="it-IT"/>
        </w:rPr>
        <w:t xml:space="preserve"> – </w:t>
      </w:r>
      <w:r w:rsidRPr="00D84056">
        <w:rPr>
          <w:b/>
          <w:lang w:val="it-IT"/>
        </w:rPr>
        <w:t xml:space="preserve">Focus sulla robotica umanoide e sul business </w:t>
      </w:r>
      <w:r w:rsidR="00A01266">
        <w:rPr>
          <w:b/>
          <w:lang w:val="it-IT"/>
        </w:rPr>
        <w:t xml:space="preserve">nel settore </w:t>
      </w:r>
      <w:r w:rsidRPr="00D84056">
        <w:rPr>
          <w:b/>
          <w:lang w:val="it-IT"/>
        </w:rPr>
        <w:t>della difesa</w:t>
      </w:r>
      <w:r w:rsidR="00B01047" w:rsidRPr="00D84056">
        <w:rPr>
          <w:b/>
          <w:lang w:val="it-IT"/>
        </w:rPr>
        <w:br/>
      </w:r>
      <w:r w:rsidRPr="00D84056">
        <w:rPr>
          <w:lang w:val="it-IT"/>
        </w:rPr>
        <w:t xml:space="preserve">Le aree di crescita e i campi di sviluppo orientati al futuro del Gruppo Schaeffler, al di fuori del core business, sono state raggruppate nella </w:t>
      </w:r>
      <w:r w:rsidR="00A01266">
        <w:rPr>
          <w:lang w:val="it-IT"/>
        </w:rPr>
        <w:t>D</w:t>
      </w:r>
      <w:r w:rsidRPr="00D84056">
        <w:rPr>
          <w:lang w:val="it-IT"/>
        </w:rPr>
        <w:t xml:space="preserve">ivisione Others a partire dal 2025 e vengono sviluppate gradualmente, con un chiaro obiettivo strategico. Le </w:t>
      </w:r>
      <w:r w:rsidR="00A01266">
        <w:rPr>
          <w:lang w:val="it-IT"/>
        </w:rPr>
        <w:t>B</w:t>
      </w:r>
      <w:r w:rsidRPr="00D84056">
        <w:rPr>
          <w:lang w:val="it-IT"/>
        </w:rPr>
        <w:t xml:space="preserve">usiness </w:t>
      </w:r>
      <w:r w:rsidR="00A01266">
        <w:rPr>
          <w:lang w:val="it-IT"/>
        </w:rPr>
        <w:t>U</w:t>
      </w:r>
      <w:r w:rsidRPr="00D84056">
        <w:rPr>
          <w:lang w:val="it-IT"/>
        </w:rPr>
        <w:t>nit sono gestite come unità autonome, analoghe a start</w:t>
      </w:r>
      <w:r w:rsidRPr="00D84056">
        <w:rPr>
          <w:lang w:val="it-IT"/>
        </w:rPr>
        <w:noBreakHyphen/>
        <w:t>up, per consentire loro di essere flessibili e innovative nel proprio sviluppo, sfruttare al meglio le specifiche esigenze di ciascuna area di crescita e accedere a nuove opportunità in modo rapido ed efficiente. Schaeffler applica qui la propria esperienza decennale nell’eccellenza produttiva e nell’industrializzazione, con l’obiettivo di ampliare il portafoglio prodotti esistente includendo nuove aree ad alto potenziale.</w:t>
      </w:r>
    </w:p>
    <w:p w14:paraId="2E1A59F4" w14:textId="75138C5F" w:rsidR="003D4968" w:rsidRPr="00D84056" w:rsidRDefault="00D84056" w:rsidP="00D84056">
      <w:pPr>
        <w:rPr>
          <w:lang w:val="it-IT"/>
        </w:rPr>
      </w:pPr>
      <w:r w:rsidRPr="00D84056">
        <w:rPr>
          <w:lang w:val="it-IT"/>
        </w:rPr>
        <w:t xml:space="preserve">Entro il 2035, Schaeffler punta a generare fino al dieci percento del proprio fatturato da nuove attività ad alto potenziale, come la robotica umanoide e il settore della difesa. Questo obiettivo si basa sull’espansione del portafoglio prodotti, articolato in otto famiglie e comprendente tutti gli aspetti del </w:t>
      </w:r>
      <w:r>
        <w:rPr>
          <w:lang w:val="it-IT"/>
        </w:rPr>
        <w:t>movimento</w:t>
      </w:r>
      <w:r w:rsidRPr="00D84056">
        <w:rPr>
          <w:lang w:val="it-IT"/>
        </w:rPr>
        <w:t>. In queste aree di crescita, l’azienda ha recentemente annunciato partnership con società di primo piano, tra cui quattro produttori di robot umanoidi (Agility Robotics, Neura Robotics, Humanoid, Leju Robotics) e l’azienda tedesca di difesa Helsing</w:t>
      </w:r>
      <w:r w:rsidR="00B63A74" w:rsidRPr="00D84056">
        <w:rPr>
          <w:lang w:val="it-IT"/>
        </w:rPr>
        <w:t>.</w:t>
      </w:r>
    </w:p>
    <w:p w14:paraId="44CCA446" w14:textId="0D193629" w:rsidR="00D84056" w:rsidRPr="00D84056" w:rsidRDefault="006B6251" w:rsidP="00D84056">
      <w:pPr>
        <w:rPr>
          <w:lang w:val="it-IT"/>
        </w:rPr>
      </w:pPr>
      <w:r w:rsidRPr="00D84056">
        <w:rPr>
          <w:rStyle w:val="Enfasigrassetto"/>
          <w:lang w:val="it-IT"/>
        </w:rPr>
        <w:t xml:space="preserve">Free cash flow – </w:t>
      </w:r>
      <w:r w:rsidR="00D84056" w:rsidRPr="00D84056">
        <w:rPr>
          <w:b/>
          <w:bCs/>
          <w:lang w:val="it-IT"/>
        </w:rPr>
        <w:t>Notevolmente superiore al livello dell’anno precedente</w:t>
      </w:r>
      <w:r w:rsidRPr="00D84056">
        <w:rPr>
          <w:rStyle w:val="Enfasigrassetto"/>
          <w:lang w:val="it-IT"/>
        </w:rPr>
        <w:br/>
      </w:r>
      <w:r w:rsidR="00D84056" w:rsidRPr="00D84056">
        <w:rPr>
          <w:lang w:val="it-IT"/>
        </w:rPr>
        <w:t xml:space="preserve">Il free cash flow prima dei </w:t>
      </w:r>
      <w:r w:rsidR="00D84056" w:rsidRPr="005B787E">
        <w:rPr>
          <w:lang w:val="it-IT"/>
        </w:rPr>
        <w:t xml:space="preserve">flussi di </w:t>
      </w:r>
      <w:r w:rsidR="005B787E" w:rsidRPr="005B787E">
        <w:rPr>
          <w:lang w:val="it-IT"/>
        </w:rPr>
        <w:t xml:space="preserve">cassa </w:t>
      </w:r>
      <w:r w:rsidR="00D84056" w:rsidRPr="005B787E">
        <w:rPr>
          <w:lang w:val="it-IT"/>
        </w:rPr>
        <w:t>per</w:t>
      </w:r>
      <w:r w:rsidR="00D84056" w:rsidRPr="00D84056">
        <w:rPr>
          <w:lang w:val="it-IT"/>
        </w:rPr>
        <w:t xml:space="preserve"> attività di M&amp;A </w:t>
      </w:r>
      <w:r w:rsidR="00D84056">
        <w:rPr>
          <w:lang w:val="it-IT"/>
        </w:rPr>
        <w:t>(</w:t>
      </w:r>
      <w:r w:rsidR="005B787E">
        <w:rPr>
          <w:lang w:val="it-IT"/>
        </w:rPr>
        <w:t>fusioni</w:t>
      </w:r>
      <w:r w:rsidR="00D84056">
        <w:rPr>
          <w:lang w:val="it-IT"/>
        </w:rPr>
        <w:t xml:space="preserve"> e acquisizioni) </w:t>
      </w:r>
      <w:r w:rsidR="00D84056" w:rsidRPr="00D84056">
        <w:rPr>
          <w:lang w:val="it-IT"/>
        </w:rPr>
        <w:t xml:space="preserve">per il 2025 è stato pari a 266 milioni di euro (proforma anno precedente: </w:t>
      </w:r>
      <w:r w:rsidR="00D84056">
        <w:rPr>
          <w:lang w:val="it-IT"/>
        </w:rPr>
        <w:t>-</w:t>
      </w:r>
      <w:r w:rsidR="00D84056" w:rsidRPr="00D84056">
        <w:rPr>
          <w:lang w:val="it-IT"/>
        </w:rPr>
        <w:t>694 milioni di euro), superiore al</w:t>
      </w:r>
      <w:r w:rsidR="005B787E">
        <w:rPr>
          <w:lang w:val="it-IT"/>
        </w:rPr>
        <w:t xml:space="preserve"> range</w:t>
      </w:r>
      <w:r w:rsidR="00D84056" w:rsidRPr="00D84056">
        <w:rPr>
          <w:lang w:val="it-IT"/>
        </w:rPr>
        <w:t xml:space="preserve"> della guidance rivista il 28 ottobre 2025 [</w:t>
      </w:r>
      <w:r w:rsidR="00D84056">
        <w:rPr>
          <w:lang w:val="it-IT"/>
        </w:rPr>
        <w:t xml:space="preserve">da </w:t>
      </w:r>
      <w:r w:rsidR="00D84056" w:rsidRPr="00D84056">
        <w:rPr>
          <w:lang w:val="it-IT"/>
        </w:rPr>
        <w:t>0</w:t>
      </w:r>
      <w:r w:rsidR="00D84056">
        <w:rPr>
          <w:lang w:val="it-IT"/>
        </w:rPr>
        <w:t xml:space="preserve"> a </w:t>
      </w:r>
      <w:r w:rsidR="00D84056" w:rsidRPr="00D84056">
        <w:rPr>
          <w:lang w:val="it-IT"/>
        </w:rPr>
        <w:t>200 milioni di euro]. Il free cash flow prima dei flussi di cassa per attività di M&amp;A</w:t>
      </w:r>
      <w:r w:rsidR="00D84056">
        <w:rPr>
          <w:lang w:val="it-IT"/>
        </w:rPr>
        <w:t xml:space="preserve"> (fusioni e acquisizioni)</w:t>
      </w:r>
      <w:r w:rsidR="00D84056" w:rsidRPr="00D84056">
        <w:rPr>
          <w:lang w:val="it-IT"/>
        </w:rPr>
        <w:t xml:space="preserve"> è stato influenzato da </w:t>
      </w:r>
      <w:r w:rsidR="00D84056">
        <w:rPr>
          <w:lang w:val="it-IT"/>
        </w:rPr>
        <w:t>spese</w:t>
      </w:r>
      <w:r w:rsidR="00D84056" w:rsidRPr="00D84056">
        <w:rPr>
          <w:lang w:val="it-IT"/>
        </w:rPr>
        <w:t xml:space="preserve"> una tantum lega</w:t>
      </w:r>
      <w:r w:rsidR="00867BDF">
        <w:rPr>
          <w:lang w:val="it-IT"/>
        </w:rPr>
        <w:t>te</w:t>
      </w:r>
      <w:r w:rsidR="00D84056" w:rsidRPr="00D84056">
        <w:rPr>
          <w:lang w:val="it-IT"/>
        </w:rPr>
        <w:t xml:space="preserve"> a ristrutturazioni e attività di integrazione per 242 milioni di euro.</w:t>
      </w:r>
    </w:p>
    <w:p w14:paraId="79C6DB4E" w14:textId="768E8048" w:rsidR="00D84056" w:rsidRPr="00D84056" w:rsidRDefault="00D84056" w:rsidP="00D84056">
      <w:pPr>
        <w:rPr>
          <w:lang w:val="it-IT"/>
        </w:rPr>
      </w:pPr>
      <w:r w:rsidRPr="00D84056">
        <w:rPr>
          <w:lang w:val="it-IT"/>
        </w:rPr>
        <w:t>I principali fattori alla base dell’andamento favorevole sono stati il miglioramento della redditività, una gestione coerente del capitale circolante e una politica complessivamente prudente sugli investimenti. Gli investimenti in immobilizzazioni materiali e immateriali (capex) per il 2025 sono stati pari a 974 milioni di euro (proforma anno precedente: 1.460 milioni di euro).</w:t>
      </w:r>
    </w:p>
    <w:p w14:paraId="4170E3CA" w14:textId="3C8EBA1F" w:rsidR="0030412C" w:rsidRPr="00867BDF" w:rsidRDefault="0030412C" w:rsidP="00D84056">
      <w:pPr>
        <w:rPr>
          <w:lang w:val="it-IT"/>
        </w:rPr>
      </w:pPr>
      <w:r w:rsidRPr="00867BDF">
        <w:rPr>
          <w:lang w:val="it-IT"/>
        </w:rPr>
        <w:t>“</w:t>
      </w:r>
      <w:r w:rsidR="00867BDF" w:rsidRPr="00867BDF">
        <w:rPr>
          <w:lang w:val="it-IT"/>
        </w:rPr>
        <w:t xml:space="preserve">Il nostro obiettivo è aumentare continuamente la redditività e, di conseguenza, il nostro free cash flow. Nel 2025 siamo riusciti a raggiungere importanti traguardi </w:t>
      </w:r>
      <w:r w:rsidR="00867BDF" w:rsidRPr="00867BDF">
        <w:rPr>
          <w:lang w:val="it-IT"/>
        </w:rPr>
        <w:lastRenderedPageBreak/>
        <w:t xml:space="preserve">nonostante il contesto </w:t>
      </w:r>
      <w:r w:rsidR="00867BDF">
        <w:rPr>
          <w:lang w:val="it-IT"/>
        </w:rPr>
        <w:t>sfidante</w:t>
      </w:r>
      <w:r w:rsidR="00867BDF" w:rsidRPr="00867BDF">
        <w:rPr>
          <w:lang w:val="it-IT"/>
        </w:rPr>
        <w:t>. I progressi nell’integrazione e il miglioramento della performance operativa, uniti a una strategia di investimento disciplinata, sono stati i principali fattori trainanti di questo sviluppo</w:t>
      </w:r>
      <w:r w:rsidRPr="00867BDF">
        <w:rPr>
          <w:lang w:val="it-IT"/>
        </w:rPr>
        <w:t xml:space="preserve">,” </w:t>
      </w:r>
      <w:r w:rsidR="00867BDF">
        <w:rPr>
          <w:lang w:val="it-IT"/>
        </w:rPr>
        <w:t>ha dichiarato</w:t>
      </w:r>
      <w:r w:rsidRPr="00867BDF">
        <w:rPr>
          <w:lang w:val="it-IT"/>
        </w:rPr>
        <w:t xml:space="preserve"> Christophe Hannequin, CFO </w:t>
      </w:r>
      <w:r w:rsidR="00867BDF">
        <w:rPr>
          <w:lang w:val="it-IT"/>
        </w:rPr>
        <w:t>di</w:t>
      </w:r>
      <w:r w:rsidRPr="00867BDF">
        <w:rPr>
          <w:lang w:val="it-IT"/>
        </w:rPr>
        <w:t xml:space="preserve"> Schaeffler AG.</w:t>
      </w:r>
    </w:p>
    <w:p w14:paraId="02EE2FB3" w14:textId="77777777" w:rsidR="00DC443C" w:rsidRDefault="00DC443C" w:rsidP="00DC443C">
      <w:pPr>
        <w:rPr>
          <w:lang w:val="it-IT"/>
        </w:rPr>
      </w:pPr>
      <w:r w:rsidRPr="00DC443C">
        <w:rPr>
          <w:lang w:val="it-IT"/>
        </w:rPr>
        <w:t>L’indebitamento finanziario netto del Gruppo Schaeffler ammontava a 4.915 milioni di euro al 31 dicembre 2025 (31 dicembre 2024: 4.834 milioni di euro). Il rapporto tra indebitamento finanziario netto ed EBITDA prima delle operazioni straordinarie era pari a 2,1 alla stessa data (31 dicembre 2024: 2,5). Il rapporto tra indebitamento finanziario netto e patrimonio netto (gearing ratio) era pari al 160,9 percento.</w:t>
      </w:r>
      <w:r>
        <w:rPr>
          <w:lang w:val="it-IT"/>
        </w:rPr>
        <w:t xml:space="preserve"> </w:t>
      </w:r>
    </w:p>
    <w:p w14:paraId="127C5A36" w14:textId="5F417CC5" w:rsidR="00DC443C" w:rsidRPr="00DC443C" w:rsidRDefault="00DC443C" w:rsidP="00DC443C">
      <w:pPr>
        <w:rPr>
          <w:lang w:val="it-IT"/>
        </w:rPr>
      </w:pPr>
      <w:r w:rsidRPr="00DC443C">
        <w:rPr>
          <w:lang w:val="it-IT"/>
        </w:rPr>
        <w:t>Il totale dell’attivo del Gruppo Schaeffler ammontava a 21.028 milioni di euro al 31 dicembre 2025 (31 dicembre 2024: 21.370 milioni di euro). Alla stessa data, l’azienda contava una forza lavoro di 110.753 c</w:t>
      </w:r>
      <w:r>
        <w:rPr>
          <w:lang w:val="it-IT"/>
        </w:rPr>
        <w:t>ollaboratori in tutto il mondo</w:t>
      </w:r>
      <w:r w:rsidRPr="00DC443C">
        <w:rPr>
          <w:lang w:val="it-IT"/>
        </w:rPr>
        <w:t xml:space="preserve"> (31 dicembre 2024: 115.055 </w:t>
      </w:r>
      <w:r>
        <w:rPr>
          <w:lang w:val="it-IT"/>
        </w:rPr>
        <w:t>collaboratori</w:t>
      </w:r>
      <w:r w:rsidRPr="00DC443C">
        <w:rPr>
          <w:lang w:val="it-IT"/>
        </w:rPr>
        <w:t>).</w:t>
      </w:r>
    </w:p>
    <w:p w14:paraId="43DB20C2" w14:textId="0A252E00" w:rsidR="003D4968" w:rsidRPr="00DC443C" w:rsidRDefault="00DC443C" w:rsidP="00DC443C">
      <w:pPr>
        <w:rPr>
          <w:rStyle w:val="Enfasigrassetto"/>
          <w:lang w:val="it-IT"/>
        </w:rPr>
      </w:pPr>
      <w:r w:rsidRPr="00DC443C">
        <w:rPr>
          <w:lang w:val="it-IT"/>
        </w:rPr>
        <w:t xml:space="preserve">La perdita netta attribuibile agli azionisti della capogruppo per il 2025 è stata pari a 424 milioni di euro ed è stata influenzata negativamente da 572 milioni di euro di operazioni straordinarie, dovuti in parte a costi di ristrutturazione e svalutazioni di software. L’utile per azione ordinaria è stato pari a </w:t>
      </w:r>
      <w:r>
        <w:rPr>
          <w:lang w:val="it-IT"/>
        </w:rPr>
        <w:t>-</w:t>
      </w:r>
      <w:r w:rsidRPr="00DC443C">
        <w:rPr>
          <w:lang w:val="it-IT"/>
        </w:rPr>
        <w:t>0,45 euro. Prima delle operazioni straordinarie, l’utile netto attribuibile agli azionisti della capogruppo ammontava a 148 milioni di euro</w:t>
      </w:r>
      <w:r w:rsidR="003D4968" w:rsidRPr="00DC443C">
        <w:rPr>
          <w:rStyle w:val="Enfasigrassetto"/>
          <w:lang w:val="it-IT"/>
        </w:rPr>
        <w:t>.</w:t>
      </w:r>
      <w:r w:rsidR="00D80708" w:rsidRPr="00DC443C">
        <w:rPr>
          <w:rStyle w:val="Enfasigrassetto"/>
          <w:lang w:val="it-IT"/>
        </w:rPr>
        <w:t xml:space="preserve"> </w:t>
      </w:r>
    </w:p>
    <w:p w14:paraId="7FA40E2F" w14:textId="65C83437" w:rsidR="006B6251" w:rsidRPr="00466362" w:rsidRDefault="006B6251" w:rsidP="00FA413D">
      <w:pPr>
        <w:keepLines/>
        <w:rPr>
          <w:lang w:val="it-IT"/>
        </w:rPr>
      </w:pPr>
      <w:r w:rsidRPr="00466362">
        <w:rPr>
          <w:rStyle w:val="Enfasigrassetto"/>
          <w:lang w:val="it-IT"/>
        </w:rPr>
        <w:t>Propos</w:t>
      </w:r>
      <w:r w:rsidR="00DC443C" w:rsidRPr="00466362">
        <w:rPr>
          <w:rStyle w:val="Enfasigrassetto"/>
          <w:lang w:val="it-IT"/>
        </w:rPr>
        <w:t>ta di dividendo</w:t>
      </w:r>
      <w:r w:rsidRPr="00466362">
        <w:rPr>
          <w:rStyle w:val="Enfasigrassetto"/>
          <w:lang w:val="it-IT"/>
        </w:rPr>
        <w:t xml:space="preserve"> – 0.30 euro</w:t>
      </w:r>
      <w:r w:rsidR="00DC443C" w:rsidRPr="00466362">
        <w:rPr>
          <w:rStyle w:val="Enfasigrassetto"/>
          <w:lang w:val="it-IT"/>
        </w:rPr>
        <w:t xml:space="preserve"> per azione ordinaria</w:t>
      </w:r>
      <w:r w:rsidRPr="00466362">
        <w:rPr>
          <w:rStyle w:val="Enfasigrassetto"/>
          <w:lang w:val="it-IT"/>
        </w:rPr>
        <w:br/>
      </w:r>
      <w:r w:rsidR="00466362" w:rsidRPr="00466362">
        <w:rPr>
          <w:lang w:val="it-IT"/>
        </w:rPr>
        <w:t xml:space="preserve">Per consentire agli azionisti di partecipare in modo adeguato alla performance dell’azienda nel 2025, il </w:t>
      </w:r>
      <w:r w:rsidR="00466362">
        <w:rPr>
          <w:lang w:val="it-IT"/>
        </w:rPr>
        <w:t>Consiglio di Amministrazione</w:t>
      </w:r>
      <w:r w:rsidR="00466362" w:rsidRPr="00466362">
        <w:rPr>
          <w:lang w:val="it-IT"/>
        </w:rPr>
        <w:t xml:space="preserve"> e il </w:t>
      </w:r>
      <w:r w:rsidR="00466362">
        <w:rPr>
          <w:lang w:val="it-IT"/>
        </w:rPr>
        <w:t>Consiglio di Sorveglianza</w:t>
      </w:r>
      <w:r w:rsidR="00466362" w:rsidRPr="00466362">
        <w:rPr>
          <w:lang w:val="it-IT"/>
        </w:rPr>
        <w:t xml:space="preserve"> proporranno all’assemblea generale annuale un dividendo pari a 0,30 euro per azione</w:t>
      </w:r>
      <w:r w:rsidR="00466362">
        <w:rPr>
          <w:lang w:val="it-IT"/>
        </w:rPr>
        <w:t>.</w:t>
      </w:r>
    </w:p>
    <w:p w14:paraId="6266C74F" w14:textId="53C6ADA2" w:rsidR="00FF1776" w:rsidRPr="00466362" w:rsidRDefault="006B6251" w:rsidP="003D4968">
      <w:pPr>
        <w:rPr>
          <w:lang w:val="it-IT"/>
        </w:rPr>
      </w:pPr>
      <w:r w:rsidRPr="00466362">
        <w:rPr>
          <w:rStyle w:val="Enfasigrassetto"/>
          <w:lang w:val="it-IT"/>
        </w:rPr>
        <w:t xml:space="preserve">Outlook – </w:t>
      </w:r>
      <w:r w:rsidR="00466362" w:rsidRPr="00466362">
        <w:rPr>
          <w:b/>
          <w:bCs/>
          <w:lang w:val="it-IT"/>
        </w:rPr>
        <w:t>Previsioni conservative per il 2026</w:t>
      </w:r>
      <w:r w:rsidR="00B01047" w:rsidRPr="00466362">
        <w:rPr>
          <w:rStyle w:val="Enfasigrassetto"/>
          <w:lang w:val="it-IT"/>
        </w:rPr>
        <w:br/>
      </w:r>
      <w:r w:rsidR="00466362" w:rsidRPr="00466362">
        <w:rPr>
          <w:lang w:val="it-IT"/>
        </w:rPr>
        <w:t xml:space="preserve">Il Gruppo Schaeffler prevede per il 2026 un fatturato compreso in un </w:t>
      </w:r>
      <w:r w:rsidR="005B787E">
        <w:rPr>
          <w:lang w:val="it-IT"/>
        </w:rPr>
        <w:t>range</w:t>
      </w:r>
      <w:r w:rsidR="00466362" w:rsidRPr="00466362">
        <w:rPr>
          <w:lang w:val="it-IT"/>
        </w:rPr>
        <w:t xml:space="preserve"> tra circa 22,5 e 24,5 miliardi di euro. Ciò corrisponde a una crescita del fatturato a</w:t>
      </w:r>
      <w:r w:rsidR="00466362">
        <w:rPr>
          <w:lang w:val="it-IT"/>
        </w:rPr>
        <w:t xml:space="preserve">l netto degli effetti di cambio </w:t>
      </w:r>
      <w:r w:rsidR="00466362" w:rsidRPr="00466362">
        <w:rPr>
          <w:lang w:val="it-IT"/>
        </w:rPr>
        <w:t xml:space="preserve">compresa tra </w:t>
      </w:r>
      <w:r w:rsidR="00466362">
        <w:rPr>
          <w:lang w:val="it-IT"/>
        </w:rPr>
        <w:t>il -</w:t>
      </w:r>
      <w:r w:rsidR="00466362" w:rsidRPr="00466362">
        <w:rPr>
          <w:lang w:val="it-IT"/>
        </w:rPr>
        <w:t>4,3</w:t>
      </w:r>
      <w:r w:rsidR="00466362">
        <w:rPr>
          <w:lang w:val="it-IT"/>
        </w:rPr>
        <w:t xml:space="preserve"> percento</w:t>
      </w:r>
      <w:r w:rsidR="00466362" w:rsidRPr="00466362">
        <w:rPr>
          <w:lang w:val="it-IT"/>
        </w:rPr>
        <w:t xml:space="preserve"> e </w:t>
      </w:r>
      <w:r w:rsidR="00466362">
        <w:rPr>
          <w:lang w:val="it-IT"/>
        </w:rPr>
        <w:t xml:space="preserve">il </w:t>
      </w:r>
      <w:r w:rsidR="00466362" w:rsidRPr="00466362">
        <w:rPr>
          <w:lang w:val="it-IT"/>
        </w:rPr>
        <w:t>+4,3</w:t>
      </w:r>
      <w:r w:rsidR="00466362">
        <w:rPr>
          <w:lang w:val="it-IT"/>
        </w:rPr>
        <w:t xml:space="preserve"> percento</w:t>
      </w:r>
      <w:r w:rsidR="00466362" w:rsidRPr="00466362">
        <w:rPr>
          <w:lang w:val="it-IT"/>
        </w:rPr>
        <w:t>. Allo stesso tempo, l’azienda si aspetta di generare per il 2026 un margine EBIT prima delle operazioni straordinarie compreso tra il 3,5</w:t>
      </w:r>
      <w:r w:rsidR="00466362">
        <w:rPr>
          <w:lang w:val="it-IT"/>
        </w:rPr>
        <w:t xml:space="preserve"> percento</w:t>
      </w:r>
      <w:r w:rsidR="00466362" w:rsidRPr="00466362">
        <w:rPr>
          <w:lang w:val="it-IT"/>
        </w:rPr>
        <w:t xml:space="preserve"> e il 5,5</w:t>
      </w:r>
      <w:r w:rsidR="00466362">
        <w:rPr>
          <w:lang w:val="it-IT"/>
        </w:rPr>
        <w:t xml:space="preserve"> percento</w:t>
      </w:r>
      <w:r w:rsidR="00466362" w:rsidRPr="00466362">
        <w:rPr>
          <w:lang w:val="it-IT"/>
        </w:rPr>
        <w:t xml:space="preserve">. Il free cash flow prima dei flussi di per attività di M&amp;A </w:t>
      </w:r>
      <w:r w:rsidR="00466362">
        <w:rPr>
          <w:lang w:val="it-IT"/>
        </w:rPr>
        <w:t xml:space="preserve">(fusioni e acquisizioni) </w:t>
      </w:r>
      <w:r w:rsidR="00466362" w:rsidRPr="00466362">
        <w:rPr>
          <w:lang w:val="it-IT"/>
        </w:rPr>
        <w:t xml:space="preserve">è previsto in un </w:t>
      </w:r>
      <w:r w:rsidR="005B787E">
        <w:rPr>
          <w:lang w:val="it-IT"/>
        </w:rPr>
        <w:t>range</w:t>
      </w:r>
      <w:r w:rsidR="00466362" w:rsidRPr="00466362">
        <w:rPr>
          <w:lang w:val="it-IT"/>
        </w:rPr>
        <w:t xml:space="preserve"> tra </w:t>
      </w:r>
      <w:r w:rsidR="00466362">
        <w:rPr>
          <w:lang w:val="it-IT"/>
        </w:rPr>
        <w:t xml:space="preserve">i </w:t>
      </w:r>
      <w:r w:rsidR="00466362" w:rsidRPr="00466362">
        <w:rPr>
          <w:lang w:val="it-IT"/>
        </w:rPr>
        <w:t xml:space="preserve">100 e </w:t>
      </w:r>
      <w:r w:rsidR="00466362">
        <w:rPr>
          <w:lang w:val="it-IT"/>
        </w:rPr>
        <w:t xml:space="preserve">i </w:t>
      </w:r>
      <w:r w:rsidR="00466362" w:rsidRPr="00466362">
        <w:rPr>
          <w:lang w:val="it-IT"/>
        </w:rPr>
        <w:t xml:space="preserve">300 milioni di euro e includerà </w:t>
      </w:r>
      <w:r w:rsidR="00466362">
        <w:rPr>
          <w:lang w:val="it-IT"/>
        </w:rPr>
        <w:t>spese</w:t>
      </w:r>
      <w:r w:rsidR="00466362" w:rsidRPr="00466362">
        <w:rPr>
          <w:lang w:val="it-IT"/>
        </w:rPr>
        <w:t xml:space="preserve"> significativ</w:t>
      </w:r>
      <w:r w:rsidR="00466362">
        <w:rPr>
          <w:lang w:val="it-IT"/>
        </w:rPr>
        <w:t>e</w:t>
      </w:r>
      <w:r w:rsidR="00466362" w:rsidRPr="00466362">
        <w:rPr>
          <w:lang w:val="it-IT"/>
        </w:rPr>
        <w:t xml:space="preserve"> legat</w:t>
      </w:r>
      <w:r w:rsidR="00466362">
        <w:rPr>
          <w:lang w:val="it-IT"/>
        </w:rPr>
        <w:t>e</w:t>
      </w:r>
      <w:r w:rsidR="00466362" w:rsidRPr="00466362">
        <w:rPr>
          <w:lang w:val="it-IT"/>
        </w:rPr>
        <w:t xml:space="preserve"> ad attività di ristrutturazione e integrazione</w:t>
      </w:r>
      <w:r w:rsidR="003D4968" w:rsidRPr="00466362">
        <w:rPr>
          <w:lang w:val="it-IT"/>
        </w:rPr>
        <w:t>.</w:t>
      </w:r>
    </w:p>
    <w:p w14:paraId="10C7B9CF" w14:textId="7D85603F" w:rsidR="00466362" w:rsidRPr="00466362" w:rsidRDefault="00466362" w:rsidP="00466362">
      <w:pPr>
        <w:rPr>
          <w:lang w:val="it-IT"/>
        </w:rPr>
      </w:pPr>
      <w:r w:rsidRPr="00466362">
        <w:rPr>
          <w:lang w:val="it-IT"/>
        </w:rPr>
        <w:t xml:space="preserve">Per la </w:t>
      </w:r>
      <w:r w:rsidR="00A01266">
        <w:rPr>
          <w:lang w:val="it-IT"/>
        </w:rPr>
        <w:t>D</w:t>
      </w:r>
      <w:r w:rsidRPr="00466362">
        <w:rPr>
          <w:lang w:val="it-IT"/>
        </w:rPr>
        <w:t>ivisione E</w:t>
      </w:r>
      <w:r w:rsidRPr="00466362">
        <w:rPr>
          <w:lang w:val="it-IT"/>
        </w:rPr>
        <w:noBreakHyphen/>
        <w:t xml:space="preserve">Mobility, il Gruppo prevede per il 2026 un fatturato compreso in un </w:t>
      </w:r>
      <w:r w:rsidR="005B787E">
        <w:rPr>
          <w:lang w:val="it-IT"/>
        </w:rPr>
        <w:t>range</w:t>
      </w:r>
      <w:r w:rsidRPr="00466362">
        <w:rPr>
          <w:lang w:val="it-IT"/>
        </w:rPr>
        <w:t xml:space="preserve"> tra circa 5,2 e 5,8 miliardi di euro, corrispondente a una crescita del fatturato </w:t>
      </w:r>
      <w:r>
        <w:rPr>
          <w:lang w:val="it-IT"/>
        </w:rPr>
        <w:t>al netto degli effetti di cambio</w:t>
      </w:r>
      <w:r w:rsidRPr="00466362">
        <w:rPr>
          <w:lang w:val="it-IT"/>
        </w:rPr>
        <w:t xml:space="preserve"> compresa tra il 4,0</w:t>
      </w:r>
      <w:r>
        <w:rPr>
          <w:lang w:val="it-IT"/>
        </w:rPr>
        <w:t xml:space="preserve"> percento</w:t>
      </w:r>
      <w:r w:rsidRPr="00466362">
        <w:rPr>
          <w:lang w:val="it-IT"/>
        </w:rPr>
        <w:t xml:space="preserve"> e il 16,0</w:t>
      </w:r>
      <w:r>
        <w:rPr>
          <w:lang w:val="it-IT"/>
        </w:rPr>
        <w:t xml:space="preserve"> percento</w:t>
      </w:r>
      <w:r w:rsidRPr="00466362">
        <w:rPr>
          <w:lang w:val="it-IT"/>
        </w:rPr>
        <w:t xml:space="preserve">. Il margine EBIT prima delle operazioni straordinarie è atteso in un </w:t>
      </w:r>
      <w:r w:rsidR="005B787E">
        <w:rPr>
          <w:lang w:val="it-IT"/>
        </w:rPr>
        <w:t>range</w:t>
      </w:r>
      <w:r w:rsidRPr="00466362">
        <w:rPr>
          <w:lang w:val="it-IT"/>
        </w:rPr>
        <w:t xml:space="preserve"> compreso tra </w:t>
      </w:r>
      <w:r>
        <w:rPr>
          <w:lang w:val="it-IT"/>
        </w:rPr>
        <w:t>il -</w:t>
      </w:r>
      <w:r w:rsidRPr="00466362">
        <w:rPr>
          <w:lang w:val="it-IT"/>
        </w:rPr>
        <w:t>15,0</w:t>
      </w:r>
      <w:r>
        <w:rPr>
          <w:lang w:val="it-IT"/>
        </w:rPr>
        <w:t xml:space="preserve"> percento</w:t>
      </w:r>
      <w:r w:rsidRPr="00466362">
        <w:rPr>
          <w:lang w:val="it-IT"/>
        </w:rPr>
        <w:t xml:space="preserve"> e </w:t>
      </w:r>
      <w:r>
        <w:rPr>
          <w:lang w:val="it-IT"/>
        </w:rPr>
        <w:t>il -</w:t>
      </w:r>
      <w:r w:rsidRPr="00466362">
        <w:rPr>
          <w:lang w:val="it-IT"/>
        </w:rPr>
        <w:t>13,0</w:t>
      </w:r>
      <w:r>
        <w:rPr>
          <w:lang w:val="it-IT"/>
        </w:rPr>
        <w:t xml:space="preserve"> percento</w:t>
      </w:r>
      <w:r w:rsidRPr="00466362">
        <w:rPr>
          <w:lang w:val="it-IT"/>
        </w:rPr>
        <w:t>.</w:t>
      </w:r>
    </w:p>
    <w:p w14:paraId="592FEB33" w14:textId="5117304F" w:rsidR="00466362" w:rsidRPr="00466362" w:rsidRDefault="00466362" w:rsidP="00466362">
      <w:pPr>
        <w:rPr>
          <w:lang w:val="it-IT"/>
        </w:rPr>
      </w:pPr>
      <w:r w:rsidRPr="00466362">
        <w:rPr>
          <w:lang w:val="it-IT"/>
        </w:rPr>
        <w:t xml:space="preserve">Per la </w:t>
      </w:r>
      <w:r w:rsidR="00A01266">
        <w:rPr>
          <w:lang w:val="it-IT"/>
        </w:rPr>
        <w:t>D</w:t>
      </w:r>
      <w:r w:rsidRPr="00466362">
        <w:rPr>
          <w:lang w:val="it-IT"/>
        </w:rPr>
        <w:t xml:space="preserve">ivisione Powertrain &amp; Chassis, il Gruppo Schaeffler prevede un fatturato compreso in un </w:t>
      </w:r>
      <w:r w:rsidR="005B787E">
        <w:rPr>
          <w:lang w:val="it-IT"/>
        </w:rPr>
        <w:t>range</w:t>
      </w:r>
      <w:r w:rsidRPr="00466362">
        <w:rPr>
          <w:lang w:val="it-IT"/>
        </w:rPr>
        <w:t xml:space="preserve"> tra circa 8,0 e 8,6 miliardi di euro, corrispondente a una </w:t>
      </w:r>
      <w:r w:rsidRPr="00466362">
        <w:rPr>
          <w:lang w:val="it-IT"/>
        </w:rPr>
        <w:lastRenderedPageBreak/>
        <w:t xml:space="preserve">crescita del fatturato </w:t>
      </w:r>
      <w:r>
        <w:rPr>
          <w:lang w:val="it-IT"/>
        </w:rPr>
        <w:t>al netto degli effetti di cambio</w:t>
      </w:r>
      <w:r w:rsidRPr="00466362">
        <w:rPr>
          <w:lang w:val="it-IT"/>
        </w:rPr>
        <w:t xml:space="preserve"> compresa tra </w:t>
      </w:r>
      <w:r>
        <w:rPr>
          <w:lang w:val="it-IT"/>
        </w:rPr>
        <w:t>il -</w:t>
      </w:r>
      <w:r w:rsidRPr="00466362">
        <w:rPr>
          <w:lang w:val="it-IT"/>
        </w:rPr>
        <w:t>10,1</w:t>
      </w:r>
      <w:r>
        <w:rPr>
          <w:lang w:val="it-IT"/>
        </w:rPr>
        <w:t xml:space="preserve"> percento</w:t>
      </w:r>
      <w:r w:rsidRPr="00466362">
        <w:rPr>
          <w:lang w:val="it-IT"/>
        </w:rPr>
        <w:t xml:space="preserve"> e</w:t>
      </w:r>
      <w:r>
        <w:rPr>
          <w:lang w:val="it-IT"/>
        </w:rPr>
        <w:t xml:space="preserve"> il -</w:t>
      </w:r>
      <w:r w:rsidRPr="00466362">
        <w:rPr>
          <w:lang w:val="it-IT"/>
        </w:rPr>
        <w:t>3,4</w:t>
      </w:r>
      <w:r>
        <w:rPr>
          <w:lang w:val="it-IT"/>
        </w:rPr>
        <w:t xml:space="preserve"> percento</w:t>
      </w:r>
      <w:r w:rsidRPr="00466362">
        <w:rPr>
          <w:lang w:val="it-IT"/>
        </w:rPr>
        <w:t>, mentre il margine EBIT prima delle operazioni straordinarie è stimato tra il 10,0</w:t>
      </w:r>
      <w:r>
        <w:rPr>
          <w:lang w:val="it-IT"/>
        </w:rPr>
        <w:t xml:space="preserve"> percento</w:t>
      </w:r>
      <w:r w:rsidRPr="00466362">
        <w:rPr>
          <w:lang w:val="it-IT"/>
        </w:rPr>
        <w:t xml:space="preserve"> e il 12,0</w:t>
      </w:r>
      <w:r>
        <w:rPr>
          <w:lang w:val="it-IT"/>
        </w:rPr>
        <w:t xml:space="preserve"> percento</w:t>
      </w:r>
      <w:r w:rsidRPr="00466362">
        <w:rPr>
          <w:lang w:val="it-IT"/>
        </w:rPr>
        <w:t>.</w:t>
      </w:r>
    </w:p>
    <w:p w14:paraId="1E5EFBCA" w14:textId="76D52252" w:rsidR="00466362" w:rsidRPr="00466362" w:rsidRDefault="00466362" w:rsidP="00466362">
      <w:pPr>
        <w:rPr>
          <w:lang w:val="it-IT"/>
        </w:rPr>
      </w:pPr>
      <w:r w:rsidRPr="00466362">
        <w:rPr>
          <w:lang w:val="it-IT"/>
        </w:rPr>
        <w:t xml:space="preserve">Per la </w:t>
      </w:r>
      <w:r w:rsidR="00A01266">
        <w:rPr>
          <w:lang w:val="it-IT"/>
        </w:rPr>
        <w:t>D</w:t>
      </w:r>
      <w:r w:rsidRPr="00466362">
        <w:rPr>
          <w:lang w:val="it-IT"/>
        </w:rPr>
        <w:t xml:space="preserve">ivisione Vehicle Lifetime Solutions, il gruppo prevede per il 2026 un fatturato compreso in un </w:t>
      </w:r>
      <w:r w:rsidR="005B787E">
        <w:rPr>
          <w:lang w:val="it-IT"/>
        </w:rPr>
        <w:t>range</w:t>
      </w:r>
      <w:r w:rsidRPr="00466362">
        <w:rPr>
          <w:lang w:val="it-IT"/>
        </w:rPr>
        <w:t xml:space="preserve"> tra circa 3,1 e 3,3 miliardi di euro, corrispondente a una crescita del fatturato </w:t>
      </w:r>
      <w:r>
        <w:rPr>
          <w:lang w:val="it-IT"/>
        </w:rPr>
        <w:t>al netto degli effetti di cambio</w:t>
      </w:r>
      <w:r w:rsidRPr="00466362">
        <w:rPr>
          <w:lang w:val="it-IT"/>
        </w:rPr>
        <w:t xml:space="preserve"> compresa tra il 3,3</w:t>
      </w:r>
      <w:r>
        <w:rPr>
          <w:lang w:val="it-IT"/>
        </w:rPr>
        <w:t xml:space="preserve"> percento</w:t>
      </w:r>
      <w:r w:rsidRPr="00466362">
        <w:rPr>
          <w:lang w:val="it-IT"/>
        </w:rPr>
        <w:t xml:space="preserve"> e il 10,0</w:t>
      </w:r>
      <w:r>
        <w:rPr>
          <w:lang w:val="it-IT"/>
        </w:rPr>
        <w:t xml:space="preserve"> percento</w:t>
      </w:r>
      <w:r w:rsidRPr="00466362">
        <w:rPr>
          <w:lang w:val="it-IT"/>
        </w:rPr>
        <w:t xml:space="preserve">. Inoltre, il margine EBIT della divisione prima delle operazioni straordinarie è previsto in un </w:t>
      </w:r>
      <w:r w:rsidR="005B787E">
        <w:rPr>
          <w:lang w:val="it-IT"/>
        </w:rPr>
        <w:t>range</w:t>
      </w:r>
      <w:r w:rsidRPr="00466362">
        <w:rPr>
          <w:lang w:val="it-IT"/>
        </w:rPr>
        <w:t xml:space="preserve"> tra il 13,5</w:t>
      </w:r>
      <w:r>
        <w:rPr>
          <w:lang w:val="it-IT"/>
        </w:rPr>
        <w:t xml:space="preserve"> percento</w:t>
      </w:r>
      <w:r w:rsidRPr="00466362">
        <w:rPr>
          <w:lang w:val="it-IT"/>
        </w:rPr>
        <w:t xml:space="preserve"> e il 15,5</w:t>
      </w:r>
      <w:r>
        <w:rPr>
          <w:lang w:val="it-IT"/>
        </w:rPr>
        <w:t xml:space="preserve"> percento</w:t>
      </w:r>
      <w:r w:rsidRPr="00466362">
        <w:rPr>
          <w:lang w:val="it-IT"/>
        </w:rPr>
        <w:t>.</w:t>
      </w:r>
    </w:p>
    <w:p w14:paraId="681F801E" w14:textId="76031033" w:rsidR="00AF23B0" w:rsidRPr="00466362" w:rsidRDefault="00466362" w:rsidP="00C636E9">
      <w:pPr>
        <w:rPr>
          <w:lang w:val="it-IT"/>
        </w:rPr>
      </w:pPr>
      <w:r w:rsidRPr="00466362">
        <w:rPr>
          <w:lang w:val="it-IT"/>
        </w:rPr>
        <w:t xml:space="preserve">Per la </w:t>
      </w:r>
      <w:r w:rsidR="00A01266">
        <w:rPr>
          <w:lang w:val="it-IT"/>
        </w:rPr>
        <w:t>D</w:t>
      </w:r>
      <w:r w:rsidRPr="00466362">
        <w:rPr>
          <w:lang w:val="it-IT"/>
        </w:rPr>
        <w:t xml:space="preserve">ivisione Bearings &amp; Industrial Solutions, è previsto un fatturato compreso in un </w:t>
      </w:r>
      <w:r w:rsidR="005B787E">
        <w:rPr>
          <w:lang w:val="it-IT"/>
        </w:rPr>
        <w:t>range</w:t>
      </w:r>
      <w:r w:rsidRPr="00466362">
        <w:rPr>
          <w:lang w:val="it-IT"/>
        </w:rPr>
        <w:t xml:space="preserve"> tra circa 6,2 e 6,7 miliardi di euro, corrispondente a una crescita del fatturato </w:t>
      </w:r>
      <w:r>
        <w:rPr>
          <w:lang w:val="it-IT"/>
        </w:rPr>
        <w:t>al netto degli effetti di cambio</w:t>
      </w:r>
      <w:r w:rsidRPr="00466362">
        <w:rPr>
          <w:lang w:val="it-IT"/>
        </w:rPr>
        <w:t xml:space="preserve"> compresa tra </w:t>
      </w:r>
      <w:r>
        <w:rPr>
          <w:lang w:val="it-IT"/>
        </w:rPr>
        <w:t>il -</w:t>
      </w:r>
      <w:r w:rsidRPr="00466362">
        <w:rPr>
          <w:lang w:val="it-IT"/>
        </w:rPr>
        <w:t>3,1</w:t>
      </w:r>
      <w:r>
        <w:rPr>
          <w:lang w:val="it-IT"/>
        </w:rPr>
        <w:t xml:space="preserve"> percento</w:t>
      </w:r>
      <w:r w:rsidRPr="00466362">
        <w:rPr>
          <w:lang w:val="it-IT"/>
        </w:rPr>
        <w:t xml:space="preserve"> e</w:t>
      </w:r>
      <w:r>
        <w:rPr>
          <w:lang w:val="it-IT"/>
        </w:rPr>
        <w:t xml:space="preserve"> il</w:t>
      </w:r>
      <w:r w:rsidRPr="00466362">
        <w:rPr>
          <w:lang w:val="it-IT"/>
        </w:rPr>
        <w:t xml:space="preserve"> +4,7</w:t>
      </w:r>
      <w:r>
        <w:rPr>
          <w:lang w:val="it-IT"/>
        </w:rPr>
        <w:t xml:space="preserve"> percento</w:t>
      </w:r>
      <w:r w:rsidRPr="00466362">
        <w:rPr>
          <w:lang w:val="it-IT"/>
        </w:rPr>
        <w:t>, e un margine EBIT prima delle operazioni straordinarie compreso tra il 7,0</w:t>
      </w:r>
      <w:r>
        <w:rPr>
          <w:lang w:val="it-IT"/>
        </w:rPr>
        <w:t xml:space="preserve"> percento</w:t>
      </w:r>
      <w:r w:rsidRPr="00466362">
        <w:rPr>
          <w:lang w:val="it-IT"/>
        </w:rPr>
        <w:t xml:space="preserve"> e il 9,0</w:t>
      </w:r>
      <w:r>
        <w:rPr>
          <w:lang w:val="it-IT"/>
        </w:rPr>
        <w:t xml:space="preserve"> percento</w:t>
      </w:r>
      <w:r w:rsidRPr="00466362">
        <w:rPr>
          <w:lang w:val="it-IT"/>
        </w:rPr>
        <w:t xml:space="preserve"> nel 2026.</w:t>
      </w:r>
    </w:p>
    <w:p w14:paraId="28458893" w14:textId="77777777" w:rsidR="00AF23B0" w:rsidRPr="00466362" w:rsidRDefault="00AF23B0" w:rsidP="00C636E9">
      <w:pPr>
        <w:rPr>
          <w:lang w:val="it-IT"/>
        </w:rPr>
      </w:pPr>
    </w:p>
    <w:p w14:paraId="798E260E" w14:textId="77777777" w:rsidR="00AF23B0" w:rsidRPr="00466362" w:rsidRDefault="00AF23B0" w:rsidP="00C636E9">
      <w:pPr>
        <w:rPr>
          <w:lang w:val="it-IT"/>
        </w:rPr>
      </w:pPr>
    </w:p>
    <w:tbl>
      <w:tblPr>
        <w:tblpPr w:leftFromText="141" w:rightFromText="141" w:vertAnchor="text" w:horzAnchor="margin" w:tblpY="287"/>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1855"/>
        <w:gridCol w:w="1263"/>
        <w:gridCol w:w="1134"/>
        <w:gridCol w:w="1134"/>
        <w:gridCol w:w="1418"/>
      </w:tblGrid>
      <w:tr w:rsidR="00FA413D" w:rsidRPr="00B21AC1" w14:paraId="6FDA690D" w14:textId="77777777" w:rsidTr="005169F5">
        <w:trPr>
          <w:trHeight w:val="499"/>
        </w:trPr>
        <w:tc>
          <w:tcPr>
            <w:tcW w:w="988" w:type="dxa"/>
            <w:shd w:val="clear" w:color="auto" w:fill="D9D9D9" w:themeFill="background1" w:themeFillShade="D9"/>
            <w:vAlign w:val="center"/>
          </w:tcPr>
          <w:p w14:paraId="6406D20A" w14:textId="77777777" w:rsidR="00501E46" w:rsidRPr="00B21AC1" w:rsidRDefault="00501E46" w:rsidP="00513A7C">
            <w:pPr>
              <w:widowControl w:val="0"/>
              <w:autoSpaceDE w:val="0"/>
              <w:autoSpaceDN w:val="0"/>
              <w:adjustRightInd w:val="0"/>
              <w:spacing w:before="60"/>
              <w:jc w:val="center"/>
              <w:rPr>
                <w:rFonts w:ascii="Calibri" w:eastAsia="Times New Roman" w:hAnsi="Calibri" w:cs="Arial"/>
                <w:b/>
                <w:sz w:val="16"/>
                <w:szCs w:val="16"/>
              </w:rPr>
            </w:pPr>
            <w:r>
              <w:rPr>
                <w:rFonts w:ascii="Calibri" w:hAnsi="Calibri"/>
                <w:b/>
                <w:sz w:val="16"/>
              </w:rPr>
              <w:t>Outlook</w:t>
            </w:r>
          </w:p>
        </w:tc>
        <w:tc>
          <w:tcPr>
            <w:tcW w:w="1855" w:type="dxa"/>
            <w:shd w:val="clear" w:color="auto" w:fill="D9D9D9" w:themeFill="background1" w:themeFillShade="D9"/>
            <w:vAlign w:val="center"/>
          </w:tcPr>
          <w:p w14:paraId="74B4B53A" w14:textId="77777777" w:rsidR="00501E46" w:rsidRPr="00B21AC1" w:rsidRDefault="00501E46" w:rsidP="00513A7C">
            <w:pPr>
              <w:widowControl w:val="0"/>
              <w:autoSpaceDE w:val="0"/>
              <w:autoSpaceDN w:val="0"/>
              <w:adjustRightInd w:val="0"/>
              <w:spacing w:before="60"/>
              <w:jc w:val="center"/>
              <w:rPr>
                <w:rFonts w:ascii="Calibri" w:eastAsia="Times New Roman" w:hAnsi="Calibri" w:cs="Arial"/>
                <w:b/>
                <w:sz w:val="16"/>
                <w:szCs w:val="16"/>
              </w:rPr>
            </w:pPr>
            <w:r>
              <w:rPr>
                <w:rFonts w:ascii="Calibri" w:hAnsi="Calibri"/>
                <w:b/>
                <w:sz w:val="16"/>
              </w:rPr>
              <w:t>Schaeffler Group</w:t>
            </w:r>
          </w:p>
        </w:tc>
        <w:tc>
          <w:tcPr>
            <w:tcW w:w="1263" w:type="dxa"/>
            <w:shd w:val="clear" w:color="auto" w:fill="D9D9D9" w:themeFill="background1" w:themeFillShade="D9"/>
            <w:vAlign w:val="center"/>
          </w:tcPr>
          <w:p w14:paraId="53996BFA" w14:textId="77777777" w:rsidR="00501E46" w:rsidRPr="00B21AC1" w:rsidDel="00D476AE" w:rsidRDefault="00501E46" w:rsidP="00513A7C">
            <w:pPr>
              <w:widowControl w:val="0"/>
              <w:autoSpaceDE w:val="0"/>
              <w:autoSpaceDN w:val="0"/>
              <w:adjustRightInd w:val="0"/>
              <w:spacing w:before="60"/>
              <w:jc w:val="center"/>
              <w:rPr>
                <w:rFonts w:ascii="Calibri" w:eastAsia="Times New Roman" w:hAnsi="Calibri" w:cs="Arial"/>
                <w:b/>
                <w:sz w:val="16"/>
                <w:szCs w:val="18"/>
              </w:rPr>
            </w:pPr>
            <w:r>
              <w:rPr>
                <w:rFonts w:ascii="Calibri" w:hAnsi="Calibri"/>
                <w:b/>
                <w:sz w:val="16"/>
              </w:rPr>
              <w:t xml:space="preserve">E-Mobility </w:t>
            </w:r>
          </w:p>
        </w:tc>
        <w:tc>
          <w:tcPr>
            <w:tcW w:w="1134" w:type="dxa"/>
            <w:shd w:val="clear" w:color="auto" w:fill="D9D9D9" w:themeFill="background1" w:themeFillShade="D9"/>
            <w:vAlign w:val="center"/>
          </w:tcPr>
          <w:p w14:paraId="3FD0440A" w14:textId="77777777" w:rsidR="00501E46" w:rsidRPr="00B21AC1" w:rsidDel="00D476AE" w:rsidRDefault="00501E46" w:rsidP="00513A7C">
            <w:pPr>
              <w:widowControl w:val="0"/>
              <w:autoSpaceDE w:val="0"/>
              <w:autoSpaceDN w:val="0"/>
              <w:adjustRightInd w:val="0"/>
              <w:spacing w:before="60"/>
              <w:jc w:val="center"/>
              <w:rPr>
                <w:rFonts w:ascii="Calibri" w:eastAsia="Times New Roman" w:hAnsi="Calibri" w:cs="Arial"/>
                <w:b/>
                <w:sz w:val="16"/>
                <w:szCs w:val="18"/>
              </w:rPr>
            </w:pPr>
            <w:r>
              <w:rPr>
                <w:rFonts w:ascii="Calibri" w:hAnsi="Calibri"/>
                <w:b/>
                <w:sz w:val="16"/>
              </w:rPr>
              <w:t xml:space="preserve">Powertrain </w:t>
            </w:r>
            <w:r>
              <w:rPr>
                <w:rFonts w:ascii="Calibri" w:hAnsi="Calibri"/>
                <w:b/>
                <w:sz w:val="16"/>
              </w:rPr>
              <w:br/>
              <w:t xml:space="preserve">&amp; Chassis </w:t>
            </w:r>
          </w:p>
        </w:tc>
        <w:tc>
          <w:tcPr>
            <w:tcW w:w="1134" w:type="dxa"/>
            <w:shd w:val="clear" w:color="auto" w:fill="D9D9D9" w:themeFill="background1" w:themeFillShade="D9"/>
            <w:vAlign w:val="center"/>
          </w:tcPr>
          <w:p w14:paraId="33CF14E4" w14:textId="77777777" w:rsidR="00501E46" w:rsidRPr="00B21AC1" w:rsidRDefault="00501E46" w:rsidP="00513A7C">
            <w:pPr>
              <w:widowControl w:val="0"/>
              <w:autoSpaceDE w:val="0"/>
              <w:autoSpaceDN w:val="0"/>
              <w:adjustRightInd w:val="0"/>
              <w:spacing w:before="60"/>
              <w:jc w:val="center"/>
              <w:rPr>
                <w:rFonts w:ascii="Calibri" w:eastAsia="Times New Roman" w:hAnsi="Calibri" w:cs="Arial"/>
                <w:b/>
                <w:sz w:val="16"/>
                <w:szCs w:val="18"/>
              </w:rPr>
            </w:pPr>
            <w:r>
              <w:rPr>
                <w:rFonts w:ascii="Calibri" w:hAnsi="Calibri"/>
                <w:b/>
                <w:sz w:val="16"/>
              </w:rPr>
              <w:t>Vehicle Lifetime Solutions</w:t>
            </w:r>
          </w:p>
        </w:tc>
        <w:tc>
          <w:tcPr>
            <w:tcW w:w="1418" w:type="dxa"/>
            <w:shd w:val="clear" w:color="auto" w:fill="D9D9D9" w:themeFill="background1" w:themeFillShade="D9"/>
          </w:tcPr>
          <w:p w14:paraId="2A613FD4" w14:textId="77777777" w:rsidR="00501E46" w:rsidRPr="00B21AC1" w:rsidRDefault="00501E46" w:rsidP="00513A7C">
            <w:pPr>
              <w:widowControl w:val="0"/>
              <w:autoSpaceDE w:val="0"/>
              <w:autoSpaceDN w:val="0"/>
              <w:adjustRightInd w:val="0"/>
              <w:spacing w:before="60"/>
              <w:jc w:val="center"/>
              <w:rPr>
                <w:rFonts w:ascii="Calibri" w:eastAsia="Times New Roman" w:hAnsi="Calibri" w:cs="Arial"/>
                <w:b/>
                <w:sz w:val="16"/>
                <w:szCs w:val="18"/>
              </w:rPr>
            </w:pPr>
            <w:r>
              <w:rPr>
                <w:rFonts w:ascii="Calibri" w:hAnsi="Calibri"/>
                <w:b/>
                <w:sz w:val="16"/>
              </w:rPr>
              <w:t>Bearings &amp; Industrial Solutions</w:t>
            </w:r>
          </w:p>
        </w:tc>
      </w:tr>
      <w:tr w:rsidR="00FA413D" w:rsidRPr="00B21AC1" w14:paraId="43B874C7" w14:textId="77777777" w:rsidTr="005169F5">
        <w:trPr>
          <w:trHeight w:val="499"/>
        </w:trPr>
        <w:tc>
          <w:tcPr>
            <w:tcW w:w="988" w:type="dxa"/>
            <w:shd w:val="clear" w:color="auto" w:fill="FFFFFF" w:themeFill="background1"/>
            <w:vAlign w:val="center"/>
          </w:tcPr>
          <w:p w14:paraId="28FD0B0A" w14:textId="77777777" w:rsidR="00501E46" w:rsidRPr="00B21AC1" w:rsidRDefault="00501E46" w:rsidP="00513A7C">
            <w:pPr>
              <w:widowControl w:val="0"/>
              <w:autoSpaceDE w:val="0"/>
              <w:autoSpaceDN w:val="0"/>
              <w:adjustRightInd w:val="0"/>
              <w:spacing w:before="60"/>
              <w:jc w:val="center"/>
              <w:rPr>
                <w:rStyle w:val="Rimandonotaapidipagina"/>
                <w:rFonts w:ascii="Calibri" w:eastAsia="Times New Roman" w:hAnsi="Calibri" w:cs="Arial"/>
                <w:b/>
                <w:bCs/>
                <w:sz w:val="16"/>
                <w:szCs w:val="16"/>
              </w:rPr>
            </w:pPr>
            <w:r>
              <w:rPr>
                <w:rFonts w:ascii="Calibri" w:hAnsi="Calibri"/>
                <w:b/>
                <w:sz w:val="16"/>
              </w:rPr>
              <w:t>Revenue</w:t>
            </w:r>
          </w:p>
        </w:tc>
        <w:tc>
          <w:tcPr>
            <w:tcW w:w="1855" w:type="dxa"/>
            <w:shd w:val="clear" w:color="auto" w:fill="FFFFFF" w:themeFill="background1"/>
            <w:vAlign w:val="center"/>
          </w:tcPr>
          <w:p w14:paraId="42BD09A2" w14:textId="3736E924" w:rsidR="00501E46" w:rsidRPr="00B21AC1" w:rsidRDefault="00826FA0" w:rsidP="00DA57AB">
            <w:pPr>
              <w:widowControl w:val="0"/>
              <w:autoSpaceDE w:val="0"/>
              <w:autoSpaceDN w:val="0"/>
              <w:adjustRightInd w:val="0"/>
              <w:spacing w:before="60"/>
              <w:jc w:val="center"/>
              <w:rPr>
                <w:rFonts w:ascii="Calibri" w:eastAsia="Times New Roman" w:hAnsi="Calibri" w:cs="Arial"/>
                <w:sz w:val="16"/>
                <w:szCs w:val="16"/>
              </w:rPr>
            </w:pPr>
            <w:r>
              <w:rPr>
                <w:rFonts w:ascii="Calibri" w:hAnsi="Calibri"/>
                <w:sz w:val="16"/>
              </w:rPr>
              <w:t xml:space="preserve">22.5 to 24.5 </w:t>
            </w:r>
            <w:r>
              <w:rPr>
                <w:rFonts w:ascii="Calibri" w:hAnsi="Calibri"/>
                <w:sz w:val="16"/>
              </w:rPr>
              <w:br/>
              <w:t>billion euros</w:t>
            </w:r>
          </w:p>
        </w:tc>
        <w:tc>
          <w:tcPr>
            <w:tcW w:w="1263" w:type="dxa"/>
            <w:shd w:val="clear" w:color="auto" w:fill="FFFFFF" w:themeFill="background1"/>
            <w:vAlign w:val="center"/>
          </w:tcPr>
          <w:p w14:paraId="26F0CEEC" w14:textId="5D71EAB8" w:rsidR="00501E46" w:rsidRPr="00B21AC1" w:rsidRDefault="00826FA0" w:rsidP="00DA57AB">
            <w:pPr>
              <w:widowControl w:val="0"/>
              <w:autoSpaceDE w:val="0"/>
              <w:autoSpaceDN w:val="0"/>
              <w:adjustRightInd w:val="0"/>
              <w:spacing w:before="60"/>
              <w:jc w:val="center"/>
              <w:rPr>
                <w:rFonts w:ascii="Calibri" w:eastAsia="Times New Roman" w:hAnsi="Calibri" w:cs="Arial"/>
                <w:sz w:val="16"/>
                <w:szCs w:val="16"/>
              </w:rPr>
            </w:pPr>
            <w:r>
              <w:rPr>
                <w:rFonts w:ascii="Calibri" w:hAnsi="Calibri"/>
                <w:sz w:val="16"/>
              </w:rPr>
              <w:t xml:space="preserve">5.2 to 5.8 </w:t>
            </w:r>
            <w:r>
              <w:rPr>
                <w:rFonts w:ascii="Calibri" w:hAnsi="Calibri"/>
                <w:sz w:val="16"/>
              </w:rPr>
              <w:br/>
              <w:t>billion euros</w:t>
            </w:r>
          </w:p>
        </w:tc>
        <w:tc>
          <w:tcPr>
            <w:tcW w:w="1134" w:type="dxa"/>
            <w:shd w:val="clear" w:color="auto" w:fill="FFFFFF" w:themeFill="background1"/>
            <w:vAlign w:val="center"/>
          </w:tcPr>
          <w:p w14:paraId="309116BB" w14:textId="0994E448" w:rsidR="00501E46" w:rsidRPr="00B21AC1" w:rsidRDefault="00826FA0" w:rsidP="00DA57AB">
            <w:pPr>
              <w:widowControl w:val="0"/>
              <w:autoSpaceDE w:val="0"/>
              <w:autoSpaceDN w:val="0"/>
              <w:adjustRightInd w:val="0"/>
              <w:spacing w:before="60"/>
              <w:jc w:val="center"/>
              <w:rPr>
                <w:rFonts w:ascii="Calibri" w:eastAsia="Times New Roman" w:hAnsi="Calibri" w:cs="Arial"/>
                <w:sz w:val="16"/>
                <w:szCs w:val="16"/>
              </w:rPr>
            </w:pPr>
            <w:r>
              <w:rPr>
                <w:rFonts w:ascii="Calibri" w:hAnsi="Calibri"/>
                <w:sz w:val="16"/>
              </w:rPr>
              <w:t xml:space="preserve">8.0 to 8.6 </w:t>
            </w:r>
            <w:r>
              <w:rPr>
                <w:rFonts w:ascii="Calibri" w:hAnsi="Calibri"/>
                <w:sz w:val="16"/>
              </w:rPr>
              <w:br/>
              <w:t>billion euros</w:t>
            </w:r>
          </w:p>
        </w:tc>
        <w:tc>
          <w:tcPr>
            <w:tcW w:w="1134" w:type="dxa"/>
            <w:shd w:val="clear" w:color="auto" w:fill="FFFFFF" w:themeFill="background1"/>
            <w:vAlign w:val="center"/>
          </w:tcPr>
          <w:p w14:paraId="3276CFEA" w14:textId="7D0F0A2D" w:rsidR="00501E46" w:rsidRPr="00B21AC1" w:rsidRDefault="00826FA0" w:rsidP="00DA57AB">
            <w:pPr>
              <w:widowControl w:val="0"/>
              <w:autoSpaceDE w:val="0"/>
              <w:autoSpaceDN w:val="0"/>
              <w:adjustRightInd w:val="0"/>
              <w:spacing w:before="60"/>
              <w:jc w:val="center"/>
              <w:rPr>
                <w:rFonts w:ascii="Calibri" w:eastAsia="Times New Roman" w:hAnsi="Calibri" w:cs="Arial"/>
                <w:sz w:val="16"/>
                <w:szCs w:val="16"/>
              </w:rPr>
            </w:pPr>
            <w:r>
              <w:rPr>
                <w:rFonts w:ascii="Calibri" w:hAnsi="Calibri"/>
                <w:sz w:val="16"/>
              </w:rPr>
              <w:t xml:space="preserve">3.1 to 3.3 </w:t>
            </w:r>
            <w:r>
              <w:rPr>
                <w:rFonts w:ascii="Calibri" w:hAnsi="Calibri"/>
                <w:sz w:val="16"/>
              </w:rPr>
              <w:br/>
              <w:t>billion euros</w:t>
            </w:r>
          </w:p>
        </w:tc>
        <w:tc>
          <w:tcPr>
            <w:tcW w:w="1418" w:type="dxa"/>
            <w:shd w:val="clear" w:color="auto" w:fill="FFFFFF" w:themeFill="background1"/>
            <w:vAlign w:val="center"/>
          </w:tcPr>
          <w:p w14:paraId="5DD4B1DE" w14:textId="1FDE1C8B" w:rsidR="00501E46" w:rsidRPr="00B21AC1" w:rsidRDefault="00826FA0" w:rsidP="00DA57AB">
            <w:pPr>
              <w:widowControl w:val="0"/>
              <w:autoSpaceDE w:val="0"/>
              <w:autoSpaceDN w:val="0"/>
              <w:adjustRightInd w:val="0"/>
              <w:spacing w:before="60"/>
              <w:jc w:val="center"/>
              <w:rPr>
                <w:rFonts w:ascii="Calibri" w:eastAsia="Times New Roman" w:hAnsi="Calibri" w:cs="Arial"/>
                <w:sz w:val="16"/>
                <w:szCs w:val="16"/>
              </w:rPr>
            </w:pPr>
            <w:r>
              <w:rPr>
                <w:rFonts w:ascii="Calibri" w:hAnsi="Calibri"/>
                <w:sz w:val="16"/>
              </w:rPr>
              <w:t xml:space="preserve">6.2 to 6.7 </w:t>
            </w:r>
            <w:r>
              <w:rPr>
                <w:rFonts w:ascii="Calibri" w:hAnsi="Calibri"/>
                <w:sz w:val="16"/>
              </w:rPr>
              <w:br/>
              <w:t>billion euros</w:t>
            </w:r>
          </w:p>
        </w:tc>
      </w:tr>
      <w:tr w:rsidR="00FA413D" w:rsidRPr="00B21AC1" w14:paraId="4D5149CE" w14:textId="77777777" w:rsidTr="005169F5">
        <w:trPr>
          <w:trHeight w:val="499"/>
        </w:trPr>
        <w:tc>
          <w:tcPr>
            <w:tcW w:w="988" w:type="dxa"/>
            <w:shd w:val="clear" w:color="auto" w:fill="FFFFFF" w:themeFill="background1"/>
            <w:vAlign w:val="center"/>
          </w:tcPr>
          <w:p w14:paraId="1664DC0C" w14:textId="77777777" w:rsidR="00501E46" w:rsidRPr="00B21AC1" w:rsidRDefault="00501E46" w:rsidP="00513A7C">
            <w:pPr>
              <w:widowControl w:val="0"/>
              <w:autoSpaceDE w:val="0"/>
              <w:autoSpaceDN w:val="0"/>
              <w:adjustRightInd w:val="0"/>
              <w:spacing w:before="60"/>
              <w:jc w:val="center"/>
              <w:rPr>
                <w:rFonts w:ascii="Calibri" w:eastAsia="Times New Roman" w:hAnsi="Calibri" w:cs="Arial"/>
                <w:b/>
                <w:bCs/>
                <w:sz w:val="16"/>
                <w:szCs w:val="16"/>
              </w:rPr>
            </w:pPr>
            <w:r>
              <w:rPr>
                <w:rFonts w:ascii="Calibri" w:hAnsi="Calibri"/>
                <w:b/>
                <w:sz w:val="16"/>
              </w:rPr>
              <w:t>EBIT</w:t>
            </w:r>
            <w:r w:rsidRPr="00225807">
              <w:br/>
            </w:r>
            <w:r>
              <w:rPr>
                <w:rFonts w:ascii="Calibri" w:hAnsi="Calibri"/>
                <w:b/>
                <w:sz w:val="16"/>
              </w:rPr>
              <w:t>margin</w:t>
            </w:r>
            <w:r w:rsidRPr="00225807">
              <w:rPr>
                <w:rStyle w:val="Rimandonotaapidipagina"/>
                <w:sz w:val="16"/>
              </w:rPr>
              <w:t>1</w:t>
            </w:r>
          </w:p>
        </w:tc>
        <w:tc>
          <w:tcPr>
            <w:tcW w:w="1855" w:type="dxa"/>
            <w:shd w:val="clear" w:color="auto" w:fill="FFFFFF" w:themeFill="background1"/>
            <w:vAlign w:val="center"/>
          </w:tcPr>
          <w:p w14:paraId="49BED62F" w14:textId="51561119" w:rsidR="00501E46" w:rsidRPr="00B21AC1" w:rsidRDefault="00826FA0" w:rsidP="00DA57AB">
            <w:pPr>
              <w:widowControl w:val="0"/>
              <w:autoSpaceDE w:val="0"/>
              <w:autoSpaceDN w:val="0"/>
              <w:adjustRightInd w:val="0"/>
              <w:spacing w:before="60"/>
              <w:jc w:val="center"/>
              <w:rPr>
                <w:rFonts w:ascii="Calibri" w:eastAsia="Times New Roman" w:hAnsi="Calibri" w:cs="Arial"/>
                <w:sz w:val="16"/>
                <w:szCs w:val="16"/>
              </w:rPr>
            </w:pPr>
            <w:r>
              <w:rPr>
                <w:rFonts w:ascii="Calibri" w:hAnsi="Calibri"/>
                <w:sz w:val="16"/>
              </w:rPr>
              <w:t>3.5 to 5.5%</w:t>
            </w:r>
          </w:p>
        </w:tc>
        <w:tc>
          <w:tcPr>
            <w:tcW w:w="1263" w:type="dxa"/>
            <w:shd w:val="clear" w:color="auto" w:fill="FFFFFF" w:themeFill="background1"/>
            <w:vAlign w:val="center"/>
          </w:tcPr>
          <w:p w14:paraId="5B85AC20" w14:textId="7EBF2B31" w:rsidR="00501E46" w:rsidRPr="00B21AC1" w:rsidRDefault="00501E46" w:rsidP="00DA57AB">
            <w:pPr>
              <w:widowControl w:val="0"/>
              <w:autoSpaceDE w:val="0"/>
              <w:autoSpaceDN w:val="0"/>
              <w:adjustRightInd w:val="0"/>
              <w:spacing w:before="60"/>
              <w:jc w:val="center"/>
              <w:rPr>
                <w:rFonts w:ascii="Calibri" w:eastAsia="Times New Roman" w:hAnsi="Calibri" w:cs="Arial"/>
                <w:sz w:val="16"/>
                <w:szCs w:val="18"/>
              </w:rPr>
            </w:pPr>
            <w:r>
              <w:rPr>
                <w:rFonts w:ascii="Calibri" w:hAnsi="Calibri"/>
                <w:sz w:val="16"/>
              </w:rPr>
              <w:t>-15.0 to -13.0%</w:t>
            </w:r>
          </w:p>
        </w:tc>
        <w:tc>
          <w:tcPr>
            <w:tcW w:w="1134" w:type="dxa"/>
            <w:shd w:val="clear" w:color="auto" w:fill="FFFFFF" w:themeFill="background1"/>
            <w:vAlign w:val="center"/>
          </w:tcPr>
          <w:p w14:paraId="7054541F" w14:textId="03086772" w:rsidR="00501E46" w:rsidRPr="00B21AC1" w:rsidRDefault="00826FA0" w:rsidP="00DA57AB">
            <w:pPr>
              <w:widowControl w:val="0"/>
              <w:autoSpaceDE w:val="0"/>
              <w:autoSpaceDN w:val="0"/>
              <w:adjustRightInd w:val="0"/>
              <w:spacing w:before="60"/>
              <w:jc w:val="center"/>
              <w:rPr>
                <w:rFonts w:ascii="Calibri" w:eastAsia="Times New Roman" w:hAnsi="Calibri" w:cs="Arial"/>
                <w:sz w:val="16"/>
                <w:szCs w:val="18"/>
              </w:rPr>
            </w:pPr>
            <w:r>
              <w:rPr>
                <w:rFonts w:ascii="Calibri" w:hAnsi="Calibri"/>
                <w:sz w:val="16"/>
              </w:rPr>
              <w:t>10.0 to 12.0%</w:t>
            </w:r>
          </w:p>
        </w:tc>
        <w:tc>
          <w:tcPr>
            <w:tcW w:w="1134" w:type="dxa"/>
            <w:shd w:val="clear" w:color="auto" w:fill="FFFFFF" w:themeFill="background1"/>
            <w:vAlign w:val="center"/>
          </w:tcPr>
          <w:p w14:paraId="2E9313BD" w14:textId="430EA92D" w:rsidR="00501E46" w:rsidRPr="00B21AC1" w:rsidRDefault="00826FA0" w:rsidP="00DA57AB">
            <w:pPr>
              <w:widowControl w:val="0"/>
              <w:autoSpaceDE w:val="0"/>
              <w:autoSpaceDN w:val="0"/>
              <w:adjustRightInd w:val="0"/>
              <w:spacing w:before="60"/>
              <w:jc w:val="center"/>
              <w:rPr>
                <w:rFonts w:ascii="Calibri" w:eastAsia="Times New Roman" w:hAnsi="Calibri" w:cs="Arial"/>
                <w:sz w:val="16"/>
                <w:szCs w:val="18"/>
              </w:rPr>
            </w:pPr>
            <w:r>
              <w:rPr>
                <w:rFonts w:ascii="Calibri" w:hAnsi="Calibri"/>
                <w:sz w:val="16"/>
              </w:rPr>
              <w:t>13.5 to 15.5%</w:t>
            </w:r>
          </w:p>
        </w:tc>
        <w:tc>
          <w:tcPr>
            <w:tcW w:w="1418" w:type="dxa"/>
            <w:shd w:val="clear" w:color="auto" w:fill="FFFFFF" w:themeFill="background1"/>
            <w:vAlign w:val="center"/>
          </w:tcPr>
          <w:p w14:paraId="66EA8085" w14:textId="690CF77D" w:rsidR="00501E46" w:rsidRPr="00B21AC1" w:rsidRDefault="00826FA0" w:rsidP="00DA57AB">
            <w:pPr>
              <w:widowControl w:val="0"/>
              <w:autoSpaceDE w:val="0"/>
              <w:autoSpaceDN w:val="0"/>
              <w:adjustRightInd w:val="0"/>
              <w:spacing w:before="60"/>
              <w:jc w:val="center"/>
              <w:rPr>
                <w:rFonts w:ascii="Calibri" w:eastAsia="Times New Roman" w:hAnsi="Calibri" w:cs="Arial"/>
                <w:sz w:val="16"/>
                <w:szCs w:val="18"/>
              </w:rPr>
            </w:pPr>
            <w:r>
              <w:rPr>
                <w:rFonts w:ascii="Calibri" w:hAnsi="Calibri"/>
                <w:sz w:val="16"/>
              </w:rPr>
              <w:t>7.0 to 9.0%</w:t>
            </w:r>
          </w:p>
        </w:tc>
      </w:tr>
      <w:tr w:rsidR="00FA413D" w:rsidRPr="00B21AC1" w14:paraId="5E8AD178" w14:textId="77777777" w:rsidTr="004904A3">
        <w:trPr>
          <w:gridAfter w:val="4"/>
          <w:wAfter w:w="4949" w:type="dxa"/>
          <w:trHeight w:val="499"/>
        </w:trPr>
        <w:tc>
          <w:tcPr>
            <w:tcW w:w="988" w:type="dxa"/>
            <w:tcBorders>
              <w:bottom w:val="single" w:sz="4" w:space="0" w:color="auto"/>
            </w:tcBorders>
            <w:shd w:val="clear" w:color="auto" w:fill="FFFFFF" w:themeFill="background1"/>
            <w:vAlign w:val="center"/>
          </w:tcPr>
          <w:p w14:paraId="4289355C" w14:textId="77777777" w:rsidR="00501E46" w:rsidRPr="00B21AC1" w:rsidRDefault="00501E46" w:rsidP="00513A7C">
            <w:pPr>
              <w:widowControl w:val="0"/>
              <w:autoSpaceDE w:val="0"/>
              <w:autoSpaceDN w:val="0"/>
              <w:adjustRightInd w:val="0"/>
              <w:spacing w:before="60"/>
              <w:jc w:val="center"/>
              <w:rPr>
                <w:rFonts w:ascii="Calibri" w:eastAsia="Times New Roman" w:hAnsi="Calibri" w:cs="Arial"/>
                <w:b/>
                <w:bCs/>
                <w:sz w:val="16"/>
                <w:szCs w:val="16"/>
              </w:rPr>
            </w:pPr>
            <w:r>
              <w:rPr>
                <w:rFonts w:ascii="Calibri" w:hAnsi="Calibri"/>
                <w:b/>
                <w:sz w:val="16"/>
              </w:rPr>
              <w:t xml:space="preserve">Free </w:t>
            </w:r>
            <w:r>
              <w:br/>
            </w:r>
            <w:r>
              <w:rPr>
                <w:rFonts w:ascii="Calibri" w:hAnsi="Calibri"/>
                <w:b/>
                <w:sz w:val="16"/>
              </w:rPr>
              <w:t>cash flow</w:t>
            </w:r>
            <w:r>
              <w:rPr>
                <w:rStyle w:val="Rimandonotaapidipagina"/>
                <w:sz w:val="16"/>
              </w:rPr>
              <w:t>2</w:t>
            </w:r>
          </w:p>
        </w:tc>
        <w:tc>
          <w:tcPr>
            <w:tcW w:w="1855" w:type="dxa"/>
            <w:tcBorders>
              <w:bottom w:val="single" w:sz="4" w:space="0" w:color="auto"/>
            </w:tcBorders>
            <w:shd w:val="clear" w:color="auto" w:fill="FFFFFF" w:themeFill="background1"/>
            <w:vAlign w:val="center"/>
          </w:tcPr>
          <w:p w14:paraId="7AA9C8D7" w14:textId="089B61B2" w:rsidR="00501E46" w:rsidRPr="00B21AC1" w:rsidRDefault="00E830F6" w:rsidP="00DA57AB">
            <w:pPr>
              <w:widowControl w:val="0"/>
              <w:autoSpaceDE w:val="0"/>
              <w:autoSpaceDN w:val="0"/>
              <w:adjustRightInd w:val="0"/>
              <w:spacing w:before="60"/>
              <w:jc w:val="center"/>
              <w:rPr>
                <w:rFonts w:ascii="Calibri" w:eastAsia="Times New Roman" w:hAnsi="Calibri" w:cs="Arial"/>
                <w:sz w:val="16"/>
                <w:szCs w:val="16"/>
              </w:rPr>
            </w:pPr>
            <w:r>
              <w:rPr>
                <w:rFonts w:ascii="Calibri" w:hAnsi="Calibri"/>
                <w:sz w:val="16"/>
              </w:rPr>
              <w:t xml:space="preserve">100 to 300 </w:t>
            </w:r>
            <w:r>
              <w:rPr>
                <w:rFonts w:ascii="Calibri" w:hAnsi="Calibri"/>
                <w:sz w:val="16"/>
              </w:rPr>
              <w:br/>
              <w:t>million euros</w:t>
            </w:r>
          </w:p>
        </w:tc>
      </w:tr>
      <w:tr w:rsidR="00FA413D" w:rsidRPr="00731302" w14:paraId="247EB6E3" w14:textId="77777777" w:rsidTr="004904A3">
        <w:trPr>
          <w:gridAfter w:val="4"/>
          <w:wAfter w:w="4949" w:type="dxa"/>
          <w:trHeight w:val="565"/>
        </w:trPr>
        <w:tc>
          <w:tcPr>
            <w:tcW w:w="2843" w:type="dxa"/>
            <w:gridSpan w:val="2"/>
            <w:tcBorders>
              <w:top w:val="nil"/>
              <w:left w:val="nil"/>
              <w:bottom w:val="nil"/>
              <w:right w:val="nil"/>
            </w:tcBorders>
            <w:shd w:val="clear" w:color="auto" w:fill="FFFFFF" w:themeFill="background1"/>
            <w:vAlign w:val="center"/>
          </w:tcPr>
          <w:p w14:paraId="0E92E20E" w14:textId="77777777" w:rsidR="00501E46" w:rsidRPr="00B21AC1" w:rsidRDefault="00501E46" w:rsidP="00513A7C">
            <w:pPr>
              <w:pStyle w:val="Testonotaapidipagina"/>
              <w:rPr>
                <w:sz w:val="12"/>
                <w:szCs w:val="12"/>
              </w:rPr>
            </w:pPr>
            <w:r>
              <w:rPr>
                <w:sz w:val="12"/>
                <w:vertAlign w:val="superscript"/>
              </w:rPr>
              <w:t>1</w:t>
            </w:r>
            <w:r>
              <w:rPr>
                <w:sz w:val="12"/>
              </w:rPr>
              <w:t xml:space="preserve"> before special items</w:t>
            </w:r>
          </w:p>
          <w:p w14:paraId="33F6F76C" w14:textId="77777777" w:rsidR="00501E46" w:rsidRPr="00B21AC1" w:rsidRDefault="00501E46" w:rsidP="00513A7C">
            <w:pPr>
              <w:pStyle w:val="Testonotaapidipagina"/>
            </w:pPr>
            <w:r>
              <w:rPr>
                <w:sz w:val="12"/>
                <w:vertAlign w:val="superscript"/>
              </w:rPr>
              <w:t>2</w:t>
            </w:r>
            <w:r>
              <w:rPr>
                <w:sz w:val="12"/>
              </w:rPr>
              <w:t xml:space="preserve"> before cash in- and outflows for M&amp;A activities</w:t>
            </w:r>
          </w:p>
        </w:tc>
      </w:tr>
    </w:tbl>
    <w:p w14:paraId="74307E18" w14:textId="77777777" w:rsidR="00501E46" w:rsidRDefault="00501E46" w:rsidP="00B13126"/>
    <w:tbl>
      <w:tblPr>
        <w:tblStyle w:val="Grigliatabella"/>
        <w:tblW w:w="0" w:type="auto"/>
        <w:tblLook w:val="04A0" w:firstRow="1" w:lastRow="0" w:firstColumn="1" w:lastColumn="0" w:noHBand="0" w:noVBand="1"/>
      </w:tblPr>
      <w:tblGrid>
        <w:gridCol w:w="7360"/>
      </w:tblGrid>
      <w:tr w:rsidR="00501E46" w:rsidRPr="00B21AC1" w14:paraId="59A80C87" w14:textId="77777777" w:rsidTr="00FA413D">
        <w:trPr>
          <w:cantSplit/>
        </w:trPr>
        <w:tc>
          <w:tcPr>
            <w:tcW w:w="7360" w:type="dxa"/>
          </w:tcPr>
          <w:p w14:paraId="129AD9F3" w14:textId="6796038D" w:rsidR="00501E46" w:rsidRPr="00B21AC1" w:rsidRDefault="00501E46" w:rsidP="00FA413D">
            <w:pPr>
              <w:keepNext/>
              <w:keepLines/>
              <w:rPr>
                <w:rFonts w:ascii="Calibri" w:eastAsia="Times New Roman" w:hAnsi="Calibri" w:cs="Arial"/>
                <w:b/>
                <w:sz w:val="18"/>
                <w:szCs w:val="20"/>
              </w:rPr>
            </w:pPr>
            <w:r>
              <w:rPr>
                <w:rFonts w:ascii="Calibri" w:hAnsi="Calibri"/>
                <w:b/>
                <w:sz w:val="18"/>
              </w:rPr>
              <w:t>Current market assumptions for 2026</w:t>
            </w:r>
          </w:p>
        </w:tc>
      </w:tr>
      <w:tr w:rsidR="00501E46" w:rsidRPr="00B21AC1" w14:paraId="3803A487" w14:textId="77777777" w:rsidTr="00FA413D">
        <w:trPr>
          <w:cantSplit/>
        </w:trPr>
        <w:tc>
          <w:tcPr>
            <w:tcW w:w="7360" w:type="dxa"/>
            <w:tcBorders>
              <w:bottom w:val="single" w:sz="4" w:space="0" w:color="auto"/>
            </w:tcBorders>
          </w:tcPr>
          <w:p w14:paraId="5965F8B9" w14:textId="054C3C0D" w:rsidR="00501E46" w:rsidRPr="00B21AC1" w:rsidRDefault="00501E46" w:rsidP="00FA413D">
            <w:pPr>
              <w:keepNext/>
              <w:keepLines/>
            </w:pPr>
            <w:r>
              <w:rPr>
                <w:rFonts w:ascii="Calibri" w:hAnsi="Calibri"/>
                <w:sz w:val="18"/>
              </w:rPr>
              <w:t>Global automobile production</w:t>
            </w:r>
            <w:r>
              <w:rPr>
                <w:rFonts w:ascii="Calibri" w:hAnsi="Calibri"/>
                <w:sz w:val="18"/>
                <w:vertAlign w:val="superscript"/>
              </w:rPr>
              <w:t>1</w:t>
            </w:r>
            <w:r>
              <w:rPr>
                <w:rFonts w:ascii="Calibri" w:hAnsi="Calibri"/>
                <w:sz w:val="18"/>
              </w:rPr>
              <w:t>:</w:t>
            </w:r>
            <w:r w:rsidR="00D80708">
              <w:rPr>
                <w:rFonts w:ascii="Calibri" w:hAnsi="Calibri"/>
                <w:sz w:val="18"/>
              </w:rPr>
              <w:t xml:space="preserve"> </w:t>
            </w:r>
            <w:r>
              <w:rPr>
                <w:rFonts w:ascii="Calibri" w:hAnsi="Calibri"/>
                <w:sz w:val="18"/>
              </w:rPr>
              <w:t>Decline by about 0.4</w:t>
            </w:r>
            <w:r w:rsidR="00751EA1">
              <w:rPr>
                <w:rFonts w:ascii="Calibri" w:hAnsi="Calibri"/>
                <w:sz w:val="18"/>
              </w:rPr>
              <w:t> percent</w:t>
            </w:r>
            <w:r>
              <w:rPr>
                <w:rFonts w:ascii="Calibri" w:hAnsi="Calibri"/>
                <w:sz w:val="18"/>
              </w:rPr>
              <w:t xml:space="preserve"> to approximately 92.6</w:t>
            </w:r>
            <w:r w:rsidR="00751EA1">
              <w:rPr>
                <w:rFonts w:ascii="Calibri" w:hAnsi="Calibri"/>
                <w:sz w:val="18"/>
              </w:rPr>
              <w:t> million</w:t>
            </w:r>
            <w:r>
              <w:rPr>
                <w:rFonts w:ascii="Calibri" w:hAnsi="Calibri"/>
                <w:sz w:val="18"/>
              </w:rPr>
              <w:t xml:space="preserve"> vehicles (2025: 92.9</w:t>
            </w:r>
            <w:r w:rsidR="00751EA1">
              <w:rPr>
                <w:rFonts w:ascii="Calibri" w:hAnsi="Calibri"/>
                <w:sz w:val="18"/>
              </w:rPr>
              <w:t> million</w:t>
            </w:r>
            <w:r>
              <w:rPr>
                <w:rFonts w:ascii="Calibri" w:hAnsi="Calibri"/>
                <w:sz w:val="18"/>
              </w:rPr>
              <w:t xml:space="preserve"> vehicles).</w:t>
            </w:r>
            <w:r>
              <w:rPr>
                <w:rFonts w:ascii="Calibri" w:hAnsi="Calibri"/>
                <w:sz w:val="18"/>
                <w:vertAlign w:val="superscript"/>
              </w:rPr>
              <w:t xml:space="preserve">2 </w:t>
            </w:r>
            <w:r>
              <w:rPr>
                <w:rFonts w:ascii="Calibri" w:hAnsi="Calibri"/>
                <w:sz w:val="18"/>
              </w:rPr>
              <w:br/>
              <w:t>Global vehicle population</w:t>
            </w:r>
            <w:r>
              <w:rPr>
                <w:rFonts w:ascii="Calibri" w:hAnsi="Calibri"/>
                <w:sz w:val="18"/>
                <w:vertAlign w:val="superscript"/>
              </w:rPr>
              <w:t>3</w:t>
            </w:r>
            <w:r>
              <w:rPr>
                <w:rFonts w:ascii="Calibri" w:hAnsi="Calibri"/>
                <w:sz w:val="18"/>
              </w:rPr>
              <w:t>:</w:t>
            </w:r>
            <w:r w:rsidR="00D80708">
              <w:rPr>
                <w:rFonts w:ascii="Calibri" w:hAnsi="Calibri"/>
                <w:sz w:val="18"/>
              </w:rPr>
              <w:t xml:space="preserve"> </w:t>
            </w:r>
            <w:r>
              <w:rPr>
                <w:rFonts w:ascii="Calibri" w:hAnsi="Calibri"/>
                <w:sz w:val="18"/>
              </w:rPr>
              <w:t>Growth of 2.0</w:t>
            </w:r>
            <w:r w:rsidR="00751EA1">
              <w:rPr>
                <w:rFonts w:ascii="Calibri" w:hAnsi="Calibri"/>
                <w:sz w:val="18"/>
              </w:rPr>
              <w:t> percent</w:t>
            </w:r>
            <w:r>
              <w:rPr>
                <w:rFonts w:ascii="Calibri" w:hAnsi="Calibri"/>
                <w:sz w:val="18"/>
              </w:rPr>
              <w:t xml:space="preserve"> to 2.5</w:t>
            </w:r>
            <w:r w:rsidR="00751EA1">
              <w:rPr>
                <w:rFonts w:ascii="Calibri" w:hAnsi="Calibri"/>
                <w:sz w:val="18"/>
              </w:rPr>
              <w:t> percent</w:t>
            </w:r>
            <w:r>
              <w:rPr>
                <w:rFonts w:ascii="Calibri" w:hAnsi="Calibri"/>
                <w:sz w:val="18"/>
              </w:rPr>
              <w:t xml:space="preserve"> and further increase in average vehicle age (2025: growth of 2.4</w:t>
            </w:r>
            <w:r w:rsidR="00751EA1">
              <w:rPr>
                <w:rFonts w:ascii="Calibri" w:hAnsi="Calibri"/>
                <w:sz w:val="18"/>
              </w:rPr>
              <w:t> percent</w:t>
            </w:r>
            <w:r>
              <w:rPr>
                <w:rFonts w:ascii="Calibri" w:hAnsi="Calibri"/>
                <w:sz w:val="18"/>
              </w:rPr>
              <w:t>, average age 11.5 years).</w:t>
            </w:r>
            <w:r>
              <w:rPr>
                <w:rFonts w:ascii="Calibri" w:hAnsi="Calibri"/>
                <w:sz w:val="18"/>
                <w:vertAlign w:val="superscript"/>
              </w:rPr>
              <w:t xml:space="preserve">4 </w:t>
            </w:r>
            <w:r>
              <w:rPr>
                <w:rFonts w:ascii="Calibri" w:hAnsi="Calibri"/>
                <w:sz w:val="18"/>
              </w:rPr>
              <w:cr/>
            </w:r>
            <w:r>
              <w:rPr>
                <w:rFonts w:ascii="Calibri" w:hAnsi="Calibri"/>
                <w:sz w:val="18"/>
              </w:rPr>
              <w:br/>
              <w:t>Global industrial production</w:t>
            </w:r>
            <w:r>
              <w:rPr>
                <w:rStyle w:val="Rimandonotaapidipagina"/>
                <w:rFonts w:ascii="Calibri" w:hAnsi="Calibri"/>
                <w:sz w:val="18"/>
              </w:rPr>
              <w:t>5</w:t>
            </w:r>
            <w:r>
              <w:rPr>
                <w:rFonts w:ascii="Calibri" w:hAnsi="Calibri"/>
                <w:sz w:val="18"/>
              </w:rPr>
              <w:t>:</w:t>
            </w:r>
            <w:r w:rsidR="00D80708">
              <w:rPr>
                <w:rFonts w:ascii="Calibri" w:hAnsi="Calibri"/>
                <w:sz w:val="18"/>
              </w:rPr>
              <w:t xml:space="preserve"> </w:t>
            </w:r>
            <w:r>
              <w:rPr>
                <w:rFonts w:ascii="Calibri" w:hAnsi="Calibri"/>
                <w:sz w:val="18"/>
              </w:rPr>
              <w:t>Growth of just over 2.5</w:t>
            </w:r>
            <w:r w:rsidR="00751EA1">
              <w:rPr>
                <w:rFonts w:ascii="Calibri" w:hAnsi="Calibri"/>
                <w:sz w:val="18"/>
              </w:rPr>
              <w:t> percent</w:t>
            </w:r>
            <w:r>
              <w:rPr>
                <w:rFonts w:ascii="Calibri" w:hAnsi="Calibri"/>
                <w:sz w:val="18"/>
              </w:rPr>
              <w:t xml:space="preserve"> (2025: 3.1</w:t>
            </w:r>
            <w:r w:rsidR="00751EA1">
              <w:rPr>
                <w:rFonts w:ascii="Calibri" w:hAnsi="Calibri"/>
                <w:sz w:val="18"/>
              </w:rPr>
              <w:t> percent</w:t>
            </w:r>
            <w:r>
              <w:rPr>
                <w:rFonts w:ascii="Calibri" w:hAnsi="Calibri"/>
                <w:sz w:val="18"/>
              </w:rPr>
              <w:t>), increase in relevant industrial production of 2.5</w:t>
            </w:r>
            <w:r w:rsidR="00751EA1">
              <w:rPr>
                <w:rFonts w:ascii="Calibri" w:hAnsi="Calibri"/>
                <w:sz w:val="18"/>
              </w:rPr>
              <w:t> percent</w:t>
            </w:r>
            <w:r>
              <w:rPr>
                <w:rFonts w:ascii="Calibri" w:hAnsi="Calibri"/>
                <w:sz w:val="18"/>
              </w:rPr>
              <w:t xml:space="preserve"> to 3.0</w:t>
            </w:r>
            <w:r w:rsidR="00751EA1">
              <w:rPr>
                <w:rFonts w:ascii="Calibri" w:hAnsi="Calibri"/>
                <w:sz w:val="18"/>
              </w:rPr>
              <w:t> percent</w:t>
            </w:r>
            <w:r>
              <w:rPr>
                <w:rFonts w:ascii="Calibri" w:hAnsi="Calibri"/>
                <w:sz w:val="18"/>
              </w:rPr>
              <w:t xml:space="preserve"> (2025: 2.1</w:t>
            </w:r>
            <w:r w:rsidR="00751EA1">
              <w:rPr>
                <w:rFonts w:ascii="Calibri" w:hAnsi="Calibri"/>
                <w:sz w:val="18"/>
              </w:rPr>
              <w:t> percent</w:t>
            </w:r>
            <w:r>
              <w:rPr>
                <w:rFonts w:ascii="Calibri" w:hAnsi="Calibri"/>
                <w:sz w:val="18"/>
              </w:rPr>
              <w:t>).</w:t>
            </w:r>
            <w:r>
              <w:rPr>
                <w:rStyle w:val="Rimandonotaapidipagina"/>
                <w:rFonts w:ascii="Calibri" w:hAnsi="Calibri"/>
                <w:sz w:val="18"/>
              </w:rPr>
              <w:t xml:space="preserve">6 </w:t>
            </w:r>
          </w:p>
        </w:tc>
      </w:tr>
      <w:tr w:rsidR="00501E46" w:rsidRPr="00B21AC1" w14:paraId="6603B8CE" w14:textId="77777777" w:rsidTr="00FA413D">
        <w:trPr>
          <w:cantSplit/>
        </w:trPr>
        <w:tc>
          <w:tcPr>
            <w:tcW w:w="7360" w:type="dxa"/>
            <w:tcBorders>
              <w:top w:val="single" w:sz="4" w:space="0" w:color="auto"/>
              <w:left w:val="nil"/>
              <w:bottom w:val="nil"/>
              <w:right w:val="nil"/>
            </w:tcBorders>
          </w:tcPr>
          <w:p w14:paraId="0C9E80AF" w14:textId="739E4563" w:rsidR="00501E46" w:rsidRPr="00B21AC1" w:rsidRDefault="00501E46" w:rsidP="00501E46">
            <w:pPr>
              <w:pStyle w:val="Testonotaapidipagina"/>
              <w:rPr>
                <w:sz w:val="12"/>
                <w:szCs w:val="12"/>
              </w:rPr>
            </w:pPr>
            <w:r>
              <w:rPr>
                <w:sz w:val="12"/>
                <w:vertAlign w:val="superscript"/>
              </w:rPr>
              <w:t>1</w:t>
            </w:r>
            <w:r>
              <w:rPr>
                <w:sz w:val="12"/>
              </w:rPr>
              <w:t xml:space="preserve"> Measured as the number of vehicles up to six tons in weight manufactured.</w:t>
            </w:r>
          </w:p>
          <w:p w14:paraId="37BB7871" w14:textId="01443591" w:rsidR="00501E46" w:rsidRPr="00B21AC1" w:rsidRDefault="00501E46" w:rsidP="00501E46">
            <w:pPr>
              <w:pStyle w:val="Testonotaapidipagina"/>
              <w:rPr>
                <w:sz w:val="12"/>
                <w:szCs w:val="12"/>
              </w:rPr>
            </w:pPr>
            <w:r>
              <w:rPr>
                <w:rStyle w:val="Rimandonotaapidipagina"/>
                <w:sz w:val="12"/>
              </w:rPr>
              <w:t>2</w:t>
            </w:r>
            <w:r>
              <w:rPr>
                <w:sz w:val="12"/>
              </w:rPr>
              <w:t xml:space="preserve"> Includes content supplied by S&amp;P Global Mobility © [IHS Markit Light Vehicle Production Forecast (Base), January 2026]. All rights reserved.</w:t>
            </w:r>
          </w:p>
          <w:p w14:paraId="2E0849BD" w14:textId="77777777" w:rsidR="00501E46" w:rsidRPr="00B21AC1" w:rsidRDefault="00501E46" w:rsidP="00501E46">
            <w:pPr>
              <w:pStyle w:val="Testonotaapidipagina"/>
              <w:rPr>
                <w:sz w:val="12"/>
                <w:szCs w:val="12"/>
              </w:rPr>
            </w:pPr>
            <w:r>
              <w:rPr>
                <w:rStyle w:val="Rimandonotaapidipagina"/>
                <w:sz w:val="12"/>
              </w:rPr>
              <w:t>3</w:t>
            </w:r>
            <w:r>
              <w:rPr>
                <w:sz w:val="12"/>
              </w:rPr>
              <w:t xml:space="preserve"> Measured as the number of passenger cars and light commercial vehicles less than 3.5 tons in weight.</w:t>
            </w:r>
          </w:p>
          <w:p w14:paraId="7ECBA847" w14:textId="7F6E9342" w:rsidR="00501E46" w:rsidRPr="00B21AC1" w:rsidRDefault="00501E46" w:rsidP="00501E46">
            <w:pPr>
              <w:pStyle w:val="Testonotaapidipagina"/>
            </w:pPr>
            <w:r>
              <w:rPr>
                <w:rStyle w:val="Rimandonotaapidipagina"/>
                <w:sz w:val="12"/>
              </w:rPr>
              <w:t>4</w:t>
            </w:r>
            <w:r>
              <w:rPr>
                <w:sz w:val="12"/>
              </w:rPr>
              <w:t xml:space="preserve"> Includes content supplied by S&amp;P Global Mobility © [IHS Markit Vehicles in Operation (VIO) Forecast, November 2025]. All rights reserved.</w:t>
            </w:r>
            <w:r>
              <w:rPr>
                <w:sz w:val="12"/>
              </w:rPr>
              <w:br/>
            </w:r>
            <w:r>
              <w:rPr>
                <w:rStyle w:val="Rimandonotaapidipagina"/>
                <w:sz w:val="12"/>
              </w:rPr>
              <w:t>5</w:t>
            </w:r>
            <w:r>
              <w:rPr>
                <w:sz w:val="12"/>
              </w:rPr>
              <w:t xml:space="preserve"> Measured as value added in real terms. </w:t>
            </w:r>
            <w:r>
              <w:rPr>
                <w:sz w:val="12"/>
              </w:rPr>
              <w:br/>
            </w:r>
            <w:r>
              <w:rPr>
                <w:rStyle w:val="Rimandonotaapidipagina"/>
                <w:sz w:val="12"/>
              </w:rPr>
              <w:t>6</w:t>
            </w:r>
            <w:r>
              <w:rPr>
                <w:sz w:val="12"/>
              </w:rPr>
              <w:t xml:space="preserve"> Includes content supplied by S&amp;P Global Market Intelligence © [Comparative Industry Service Forecast, January 2026]. All rights reserved.</w:t>
            </w:r>
          </w:p>
        </w:tc>
      </w:tr>
    </w:tbl>
    <w:p w14:paraId="307EB5B7" w14:textId="080DFB8F" w:rsidR="00B13126" w:rsidRDefault="00B13126" w:rsidP="008657E8"/>
    <w:p w14:paraId="1B785AC5" w14:textId="77777777" w:rsidR="00B13126" w:rsidRPr="00D764A7" w:rsidRDefault="00B13126" w:rsidP="00F453D9">
      <w:pPr>
        <w:ind w:left="227" w:hanging="227"/>
      </w:pPr>
    </w:p>
    <w:p w14:paraId="2EB1E99D" w14:textId="77777777" w:rsidR="00466362" w:rsidRPr="00310B07" w:rsidRDefault="00466362" w:rsidP="00466362">
      <w:pPr>
        <w:pStyle w:val="Hinweis"/>
        <w:rPr>
          <w:lang w:val="it-IT"/>
        </w:rPr>
      </w:pPr>
      <w:r w:rsidRPr="00310B07">
        <w:rPr>
          <w:b/>
          <w:bCs/>
          <w:lang w:val="it-IT"/>
        </w:rPr>
        <w:lastRenderedPageBreak/>
        <w:t>Dichiarazioni e proiezioni previsionali</w:t>
      </w:r>
    </w:p>
    <w:p w14:paraId="7A5BFFE0" w14:textId="77777777" w:rsidR="00466362" w:rsidRPr="00FF23BF" w:rsidRDefault="00466362" w:rsidP="00466362">
      <w:pPr>
        <w:pStyle w:val="Hinweis"/>
        <w:rPr>
          <w:lang w:val="it-IT"/>
        </w:rPr>
      </w:pPr>
      <w:r w:rsidRPr="00FF23BF">
        <w:rPr>
          <w:lang w:val="it-IT"/>
        </w:rPr>
        <w:t>Alcune affermazioni contenute in questo comunicato stampa costituiscono dichiarazioni previsionali. Per loro natura, tali dichiarazioni comportano rischi, incertezze e ipotesi che possono far sì che risultati o eventi effettivi differiscano in modo significativo da quanto espresso o suggerito. Questi fattori potrebbero incidere negativamente sugli esiti e sulle conseguenze finanziarie dei piani e degli eventi descritti.</w:t>
      </w:r>
    </w:p>
    <w:p w14:paraId="36743E65" w14:textId="77777777" w:rsidR="00466362" w:rsidRPr="00FF23BF" w:rsidRDefault="00466362" w:rsidP="00466362">
      <w:pPr>
        <w:pStyle w:val="Hinweis"/>
        <w:rPr>
          <w:lang w:val="it-IT"/>
        </w:rPr>
      </w:pPr>
      <w:r w:rsidRPr="00FF23BF">
        <w:rPr>
          <w:lang w:val="it-IT"/>
        </w:rPr>
        <w:t>Nessuna parte si assume l’obbligo di aggiornare o modificare pubblicamente le dichiarazioni previsionali, sia in seguito a nuove informazioni, eventi futuri o altro. Si invita pertanto a non fare eccessivo affidamento su tali dichiarazioni, che riflettono la situazione alla sola data di pubblicazione del comunicato.</w:t>
      </w:r>
    </w:p>
    <w:p w14:paraId="16246D88" w14:textId="594E9F98" w:rsidR="009031C8" w:rsidRPr="00466362" w:rsidRDefault="00466362" w:rsidP="009031C8">
      <w:pPr>
        <w:pStyle w:val="Hinweis"/>
        <w:rPr>
          <w:lang w:val="it-IT"/>
        </w:rPr>
      </w:pPr>
      <w:r w:rsidRPr="00FF23BF">
        <w:rPr>
          <w:lang w:val="it-IT"/>
        </w:rPr>
        <w:t>Le affermazioni relative a tendenze o eventi passati non devono essere interpretate come garanzia che tali tendenze o eventi si ripeteranno. Le dichiarazioni cautelative sopra riportate devono essere considerate insieme a qualsiasi successiva dichiarazione previsionale, scritta o orale, rilasciata da Schaeffler o da persone autorizzate a parlare per suo conto</w:t>
      </w:r>
      <w:r w:rsidR="009031C8" w:rsidRPr="00466362">
        <w:rPr>
          <w:lang w:val="it-IT"/>
        </w:rPr>
        <w:t>.</w:t>
      </w:r>
    </w:p>
    <w:p w14:paraId="0E8AAAF7" w14:textId="77777777" w:rsidR="009031C8" w:rsidRPr="00466362" w:rsidRDefault="009031C8" w:rsidP="009031C8">
      <w:pPr>
        <w:pStyle w:val="Hinweis"/>
        <w:rPr>
          <w:lang w:val="it-IT"/>
        </w:rPr>
      </w:pPr>
    </w:p>
    <w:p w14:paraId="78CD6DD0" w14:textId="77777777" w:rsidR="009031C8" w:rsidRPr="00466362" w:rsidRDefault="009031C8" w:rsidP="009031C8">
      <w:pPr>
        <w:pStyle w:val="Hinweis"/>
        <w:rPr>
          <w:lang w:val="it-IT"/>
        </w:rPr>
      </w:pPr>
      <w:r>
        <w:rPr>
          <w:noProof/>
          <w:lang w:val="de-DE" w:eastAsia="de-DE"/>
        </w:rPr>
        <mc:AlternateContent>
          <mc:Choice Requires="wps">
            <w:drawing>
              <wp:anchor distT="0" distB="0" distL="114300" distR="114300" simplePos="0" relativeHeight="251655168" behindDoc="0" locked="0" layoutInCell="1" allowOverlap="1" wp14:anchorId="19230E29" wp14:editId="70E2EF31">
                <wp:simplePos x="0" y="0"/>
                <wp:positionH relativeFrom="column">
                  <wp:posOffset>0</wp:posOffset>
                </wp:positionH>
                <wp:positionV relativeFrom="paragraph">
                  <wp:posOffset>0</wp:posOffset>
                </wp:positionV>
                <wp:extent cx="4681728"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5F03A3" id="Gerader Verbinder 5"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strokecolor="#5d4d4c [2409]" strokeweight=".5pt"/>
            </w:pict>
          </mc:Fallback>
        </mc:AlternateContent>
      </w:r>
    </w:p>
    <w:p w14:paraId="7F8251F7" w14:textId="77777777" w:rsidR="00466362" w:rsidRPr="00E22E07" w:rsidRDefault="00466362" w:rsidP="00466362">
      <w:pPr>
        <w:pStyle w:val="Hinweis"/>
        <w:rPr>
          <w:rFonts w:asciiTheme="minorHAnsi" w:hAnsiTheme="minorHAnsi"/>
          <w:b/>
          <w:bCs/>
          <w:lang w:val="it-IT"/>
        </w:rPr>
      </w:pPr>
      <w:r w:rsidRPr="00E22E07">
        <w:rPr>
          <w:rFonts w:asciiTheme="minorHAnsi" w:hAnsiTheme="minorHAnsi"/>
          <w:b/>
          <w:lang w:val="it-IT"/>
        </w:rPr>
        <w:t>Gruppo Schaeffler – We pioneer motion</w:t>
      </w:r>
    </w:p>
    <w:p w14:paraId="458F68D7" w14:textId="77777777" w:rsidR="00466362" w:rsidRPr="005F73AB" w:rsidRDefault="00466362" w:rsidP="00466362">
      <w:pPr>
        <w:pStyle w:val="Hinweisfett"/>
        <w:rPr>
          <w:b w:val="0"/>
          <w:lang w:val="it-IT"/>
        </w:rPr>
      </w:pPr>
      <w:r w:rsidRPr="002B59CC">
        <w:rPr>
          <w:b w:val="0"/>
          <w:lang w:val="it-IT"/>
        </w:rPr>
        <w:t>Il</w:t>
      </w:r>
      <w:r w:rsidRPr="005F73AB">
        <w:rPr>
          <w:b w:val="0"/>
          <w:lang w:val="it-IT"/>
        </w:rPr>
        <w:t xml:space="preserve"> Gruppo Schaeffler guida innovazioni e sviluppi rivoluzionari nel </w:t>
      </w:r>
      <w:r w:rsidRPr="002B59CC">
        <w:rPr>
          <w:b w:val="0"/>
          <w:lang w:val="it-IT"/>
        </w:rPr>
        <w:t>settore d</w:t>
      </w:r>
      <w:r w:rsidRPr="005F73AB">
        <w:rPr>
          <w:b w:val="0"/>
          <w:lang w:val="it-IT"/>
        </w:rPr>
        <w:t xml:space="preserve">ella </w:t>
      </w:r>
      <w:r w:rsidRPr="002B59CC">
        <w:rPr>
          <w:b w:val="0"/>
          <w:lang w:val="it-IT"/>
        </w:rPr>
        <w:t>Motion Technology d</w:t>
      </w:r>
      <w:r w:rsidRPr="005F73AB">
        <w:rPr>
          <w:b w:val="0"/>
          <w:lang w:val="it-IT"/>
        </w:rPr>
        <w:t xml:space="preserve">a oltre 75 anni. Grazie a tecnologie, prodotti e servizi all’avanguardia </w:t>
      </w:r>
      <w:r w:rsidRPr="002B59CC">
        <w:rPr>
          <w:b w:val="0"/>
          <w:lang w:val="it-IT"/>
        </w:rPr>
        <w:t>nel campo della</w:t>
      </w:r>
      <w:r w:rsidRPr="005F73AB">
        <w:rPr>
          <w:b w:val="0"/>
          <w:lang w:val="it-IT"/>
        </w:rPr>
        <w:t xml:space="preserve"> mobilità elettrica, </w:t>
      </w:r>
      <w:r w:rsidRPr="002B59CC">
        <w:rPr>
          <w:b w:val="0"/>
          <w:lang w:val="it-IT"/>
        </w:rPr>
        <w:t>delle trasmissioni a basse emissioni di</w:t>
      </w:r>
      <w:r w:rsidRPr="005F73AB">
        <w:rPr>
          <w:b w:val="0"/>
          <w:lang w:val="it-IT"/>
        </w:rPr>
        <w:t xml:space="preserve"> CO₂, </w:t>
      </w:r>
      <w:r w:rsidRPr="002B59CC">
        <w:rPr>
          <w:b w:val="0"/>
          <w:lang w:val="it-IT"/>
        </w:rPr>
        <w:t>del</w:t>
      </w:r>
      <w:r w:rsidRPr="005F73AB">
        <w:rPr>
          <w:b w:val="0"/>
          <w:lang w:val="it-IT"/>
        </w:rPr>
        <w:t xml:space="preserve">le soluzioni per </w:t>
      </w:r>
      <w:r w:rsidRPr="002B59CC">
        <w:rPr>
          <w:b w:val="0"/>
          <w:lang w:val="it-IT"/>
        </w:rPr>
        <w:t>chassis e delle</w:t>
      </w:r>
      <w:r w:rsidRPr="005F73AB">
        <w:rPr>
          <w:b w:val="0"/>
          <w:lang w:val="it-IT"/>
        </w:rPr>
        <w:t xml:space="preserve"> energie rinnovabili, l’azienda è un partner affidabile nel rendere il movimento più efficiente, intelligente e sostenibile lungo l’intero ciclo di vita.</w:t>
      </w:r>
    </w:p>
    <w:p w14:paraId="737577FC" w14:textId="5CB22ACA" w:rsidR="0037142E" w:rsidRPr="00466362" w:rsidRDefault="00466362" w:rsidP="00466362">
      <w:pPr>
        <w:pStyle w:val="Hinweis"/>
        <w:rPr>
          <w:lang w:val="it-IT"/>
        </w:rPr>
      </w:pPr>
      <w:r w:rsidRPr="005F73AB">
        <w:rPr>
          <w:lang w:val="it-IT"/>
        </w:rPr>
        <w:t>Schaeffler articola la sua</w:t>
      </w:r>
      <w:r w:rsidRPr="002B59CC">
        <w:rPr>
          <w:lang w:val="it-IT"/>
        </w:rPr>
        <w:t xml:space="preserve"> ampia</w:t>
      </w:r>
      <w:r w:rsidRPr="005F73AB">
        <w:rPr>
          <w:lang w:val="it-IT"/>
        </w:rPr>
        <w:t xml:space="preserve"> offerta in otto famiglie di prodotti che spaziano dalle soluzioni di cuscinetti e dai sistemi di guida lineare a servizi di riparazione e monitoraggio. Con circa 110.000 </w:t>
      </w:r>
      <w:r w:rsidRPr="002B59CC">
        <w:rPr>
          <w:lang w:val="it-IT"/>
        </w:rPr>
        <w:t xml:space="preserve">collaboratori </w:t>
      </w:r>
      <w:r w:rsidRPr="005F73AB">
        <w:rPr>
          <w:lang w:val="it-IT"/>
        </w:rPr>
        <w:t xml:space="preserve">e oltre 250 sedi in 55 Paesi, il Gruppo è una delle maggiori aziende </w:t>
      </w:r>
      <w:r w:rsidRPr="002B59CC">
        <w:rPr>
          <w:lang w:val="it-IT"/>
        </w:rPr>
        <w:t>familiari</w:t>
      </w:r>
      <w:r w:rsidRPr="005F73AB">
        <w:rPr>
          <w:lang w:val="it-IT"/>
        </w:rPr>
        <w:t xml:space="preserve"> al mondo e figura tra le realtà più innovative della Germania</w:t>
      </w:r>
      <w:r w:rsidR="0037142E" w:rsidRPr="00466362">
        <w:rPr>
          <w:rFonts w:asciiTheme="minorHAnsi" w:hAnsiTheme="minorHAnsi"/>
          <w:lang w:val="it-IT"/>
        </w:rPr>
        <w:t>.</w:t>
      </w:r>
      <w:r w:rsidR="0037142E" w:rsidRPr="00466362">
        <w:rPr>
          <w:rFonts w:asciiTheme="minorHAnsi" w:hAnsiTheme="minorHAnsi"/>
          <w:lang w:val="it-IT"/>
        </w:rPr>
        <w:cr/>
      </w:r>
    </w:p>
    <w:p w14:paraId="7C8901F8" w14:textId="77777777" w:rsidR="0037142E" w:rsidRPr="00466362" w:rsidRDefault="0037142E" w:rsidP="0037142E">
      <w:pPr>
        <w:pStyle w:val="Hinweis"/>
        <w:rPr>
          <w:lang w:val="it-IT"/>
        </w:rPr>
      </w:pPr>
      <w:r>
        <w:rPr>
          <w:noProof/>
          <w:lang w:val="de-DE" w:eastAsia="de-DE"/>
        </w:rPr>
        <mc:AlternateContent>
          <mc:Choice Requires="wps">
            <w:drawing>
              <wp:anchor distT="0" distB="0" distL="114300" distR="114300" simplePos="0" relativeHeight="251656192" behindDoc="0" locked="0" layoutInCell="1" allowOverlap="1" wp14:anchorId="2C022EB7" wp14:editId="6AC6E371">
                <wp:simplePos x="0" y="0"/>
                <wp:positionH relativeFrom="column">
                  <wp:posOffset>0</wp:posOffset>
                </wp:positionH>
                <wp:positionV relativeFrom="paragraph">
                  <wp:posOffset>0</wp:posOffset>
                </wp:positionV>
                <wp:extent cx="4681728"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CD2E80" id="Straight Connector 1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strokecolor="#5d4d4c [2409]" strokeweight=".5pt"/>
            </w:pict>
          </mc:Fallback>
        </mc:AlternateContent>
      </w:r>
    </w:p>
    <w:p w14:paraId="2F1D7803" w14:textId="77777777" w:rsidR="0037142E" w:rsidRPr="00466362" w:rsidRDefault="0037142E" w:rsidP="0037142E">
      <w:pPr>
        <w:spacing w:before="0"/>
        <w:rPr>
          <w:rStyle w:val="Enfasigrassetto"/>
          <w:lang w:val="it-IT"/>
        </w:rPr>
      </w:pPr>
    </w:p>
    <w:p w14:paraId="7B84BA7E" w14:textId="77777777" w:rsidR="00AF23B0" w:rsidRPr="00466362" w:rsidRDefault="00AF23B0" w:rsidP="0037142E">
      <w:pPr>
        <w:spacing w:before="0"/>
        <w:rPr>
          <w:rStyle w:val="Enfasigrassetto"/>
          <w:lang w:val="it-IT"/>
        </w:rPr>
      </w:pPr>
    </w:p>
    <w:p w14:paraId="2E8161B9" w14:textId="77777777" w:rsidR="0037142E" w:rsidRDefault="0037142E" w:rsidP="0037142E">
      <w:pPr>
        <w:spacing w:before="0"/>
        <w:rPr>
          <w:rStyle w:val="Enfasigrassetto"/>
        </w:rPr>
      </w:pPr>
      <w:r>
        <w:rPr>
          <w:rStyle w:val="Enfasigrassetto"/>
        </w:rPr>
        <w:t>Contact</w:t>
      </w:r>
    </w:p>
    <w:p w14:paraId="348EC09D" w14:textId="77777777" w:rsidR="0037142E" w:rsidRDefault="0037142E" w:rsidP="0037142E">
      <w:pPr>
        <w:spacing w:before="0"/>
        <w:rPr>
          <w:rStyle w:val="Enfasigrassetto"/>
        </w:rPr>
      </w:pPr>
    </w:p>
    <w:tbl>
      <w:tblPr>
        <w:tblStyle w:val="Grigliatabella"/>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3544"/>
      </w:tblGrid>
      <w:tr w:rsidR="0037142E" w:rsidRPr="009A53A0" w14:paraId="2F3B7F17" w14:textId="77777777" w:rsidTr="00C96928">
        <w:tc>
          <w:tcPr>
            <w:tcW w:w="4111" w:type="dxa"/>
          </w:tcPr>
          <w:p w14:paraId="638008AC" w14:textId="77777777" w:rsidR="0037142E" w:rsidRPr="0048383E" w:rsidRDefault="0037142E" w:rsidP="00C96928">
            <w:pPr>
              <w:autoSpaceDE w:val="0"/>
              <w:autoSpaceDN w:val="0"/>
              <w:adjustRightInd w:val="0"/>
              <w:spacing w:before="0"/>
              <w:ind w:right="282"/>
              <w:rPr>
                <w:rStyle w:val="Enfasigrassetto"/>
              </w:rPr>
            </w:pPr>
            <w:r>
              <w:rPr>
                <w:rStyle w:val="Enfasigrassetto"/>
              </w:rPr>
              <w:t>Dr. Axel Lüdeke</w:t>
            </w:r>
          </w:p>
          <w:p w14:paraId="41D98CD2" w14:textId="77777777" w:rsidR="0037142E" w:rsidRDefault="0037142E" w:rsidP="00C96928">
            <w:pPr>
              <w:autoSpaceDE w:val="0"/>
              <w:autoSpaceDN w:val="0"/>
              <w:adjustRightInd w:val="0"/>
              <w:spacing w:before="0"/>
              <w:ind w:right="282"/>
            </w:pPr>
            <w:r>
              <w:t xml:space="preserve">Head of Group Communications </w:t>
            </w:r>
            <w:r>
              <w:br/>
              <w:t xml:space="preserve">&amp; Public Affairs </w:t>
            </w:r>
          </w:p>
          <w:p w14:paraId="51FC2210" w14:textId="77777777" w:rsidR="0037142E" w:rsidRPr="00445EE5" w:rsidRDefault="0037142E" w:rsidP="00C96928">
            <w:pPr>
              <w:autoSpaceDE w:val="0"/>
              <w:autoSpaceDN w:val="0"/>
              <w:adjustRightInd w:val="0"/>
              <w:spacing w:before="0"/>
              <w:ind w:right="282"/>
              <w:rPr>
                <w:lang w:val="de-DE"/>
              </w:rPr>
            </w:pPr>
            <w:r w:rsidRPr="00445EE5">
              <w:rPr>
                <w:lang w:val="de-DE"/>
              </w:rPr>
              <w:t xml:space="preserve">Schaeffler AG, Herzogenaurach, </w:t>
            </w:r>
          </w:p>
          <w:p w14:paraId="50B3AE7B" w14:textId="77777777" w:rsidR="0037142E" w:rsidRPr="00445EE5" w:rsidRDefault="0037142E" w:rsidP="00C96928">
            <w:pPr>
              <w:autoSpaceDE w:val="0"/>
              <w:autoSpaceDN w:val="0"/>
              <w:adjustRightInd w:val="0"/>
              <w:spacing w:before="0"/>
              <w:ind w:right="282"/>
              <w:rPr>
                <w:lang w:val="de-DE"/>
              </w:rPr>
            </w:pPr>
            <w:r w:rsidRPr="00445EE5">
              <w:rPr>
                <w:lang w:val="de-DE"/>
              </w:rPr>
              <w:t>Germany</w:t>
            </w:r>
          </w:p>
          <w:p w14:paraId="18398964" w14:textId="77777777" w:rsidR="0037142E" w:rsidRPr="00445EE5" w:rsidRDefault="0037142E" w:rsidP="00C96928">
            <w:pPr>
              <w:ind w:right="282"/>
              <w:rPr>
                <w:lang w:val="de-DE"/>
              </w:rPr>
            </w:pPr>
            <w:r>
              <w:rPr>
                <w:noProof/>
                <w:lang w:val="de-DE" w:eastAsia="de-DE"/>
              </w:rPr>
              <w:drawing>
                <wp:inline distT="0" distB="0" distL="0" distR="0" wp14:anchorId="6B105265" wp14:editId="6C35DFB4">
                  <wp:extent cx="129600" cy="129600"/>
                  <wp:effectExtent l="0" t="0" r="381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hone_rgb.png"/>
                          <pic:cNvPicPr/>
                        </pic:nvPicPr>
                        <pic:blipFill>
                          <a:blip r:embed="rId11" cstate="screen">
                            <a:extLst>
                              <a:ext uri="{28A0092B-C50C-407E-A947-70E740481C1C}">
                                <a14:useLocalDpi xmlns:a14="http://schemas.microsoft.com/office/drawing/2010/main"/>
                              </a:ext>
                            </a:extLst>
                          </a:blip>
                          <a:stretch>
                            <a:fillRect/>
                          </a:stretch>
                        </pic:blipFill>
                        <pic:spPr>
                          <a:xfrm>
                            <a:off x="0" y="0"/>
                            <a:ext cx="129600" cy="129600"/>
                          </a:xfrm>
                          <a:prstGeom prst="rect">
                            <a:avLst/>
                          </a:prstGeom>
                        </pic:spPr>
                      </pic:pic>
                    </a:graphicData>
                  </a:graphic>
                </wp:inline>
              </w:drawing>
            </w:r>
            <w:r w:rsidRPr="00445EE5">
              <w:rPr>
                <w:lang w:val="de-DE"/>
              </w:rPr>
              <w:t xml:space="preserve">  +49 9132 82 8901</w:t>
            </w:r>
          </w:p>
          <w:p w14:paraId="72587999" w14:textId="77777777" w:rsidR="0037142E" w:rsidRPr="00445EE5" w:rsidRDefault="0037142E" w:rsidP="00C96928">
            <w:pPr>
              <w:spacing w:before="0"/>
              <w:ind w:right="282"/>
              <w:rPr>
                <w:rStyle w:val="Collegamentoipertestuale"/>
                <w:lang w:val="de-DE"/>
              </w:rPr>
            </w:pPr>
            <w:r>
              <w:rPr>
                <w:noProof/>
                <w:sz w:val="20"/>
                <w:lang w:val="de-DE" w:eastAsia="de-DE"/>
              </w:rPr>
              <w:drawing>
                <wp:inline distT="0" distB="0" distL="0" distR="0" wp14:anchorId="69D3F5B3" wp14:editId="0385B0DE">
                  <wp:extent cx="136800" cy="9360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ail_rgb.png"/>
                          <pic:cNvPicPr/>
                        </pic:nvPicPr>
                        <pic:blipFill>
                          <a:blip r:embed="rId12" cstate="screen">
                            <a:extLst>
                              <a:ext uri="{28A0092B-C50C-407E-A947-70E740481C1C}">
                                <a14:useLocalDpi xmlns:a14="http://schemas.microsoft.com/office/drawing/2010/main"/>
                              </a:ext>
                            </a:extLst>
                          </a:blip>
                          <a:stretch>
                            <a:fillRect/>
                          </a:stretch>
                        </pic:blipFill>
                        <pic:spPr>
                          <a:xfrm>
                            <a:off x="0" y="0"/>
                            <a:ext cx="136800" cy="93600"/>
                          </a:xfrm>
                          <a:prstGeom prst="rect">
                            <a:avLst/>
                          </a:prstGeom>
                        </pic:spPr>
                      </pic:pic>
                    </a:graphicData>
                  </a:graphic>
                </wp:inline>
              </w:drawing>
            </w:r>
            <w:r w:rsidRPr="00445EE5">
              <w:rPr>
                <w:sz w:val="20"/>
                <w:lang w:val="de-DE"/>
              </w:rPr>
              <w:t xml:space="preserve">  </w:t>
            </w:r>
            <w:hyperlink r:id="rId13" w:history="1">
              <w:r w:rsidRPr="00445EE5">
                <w:rPr>
                  <w:rStyle w:val="Collegamentoipertestuale"/>
                  <w:lang w:val="de-DE"/>
                </w:rPr>
                <w:t>axel.luedeke@schaeffler.com</w:t>
              </w:r>
            </w:hyperlink>
          </w:p>
          <w:p w14:paraId="473DCC3B" w14:textId="77777777" w:rsidR="0037142E" w:rsidRPr="00445EE5" w:rsidRDefault="0037142E" w:rsidP="00C96928">
            <w:pPr>
              <w:spacing w:before="0"/>
              <w:ind w:right="282"/>
              <w:rPr>
                <w:rStyle w:val="Enfasigrassetto"/>
                <w:b w:val="0"/>
                <w:color w:val="00893D" w:themeColor="background2"/>
                <w:sz w:val="32"/>
                <w:lang w:val="de-DE"/>
              </w:rPr>
            </w:pPr>
          </w:p>
        </w:tc>
        <w:tc>
          <w:tcPr>
            <w:tcW w:w="3544" w:type="dxa"/>
          </w:tcPr>
          <w:p w14:paraId="28D0D1C5" w14:textId="77777777" w:rsidR="0037142E" w:rsidRPr="0037142E" w:rsidRDefault="0037142E" w:rsidP="00C96928">
            <w:pPr>
              <w:autoSpaceDE w:val="0"/>
              <w:autoSpaceDN w:val="0"/>
              <w:adjustRightInd w:val="0"/>
              <w:spacing w:before="0"/>
              <w:ind w:left="144"/>
              <w:rPr>
                <w:rStyle w:val="Enfasigrassetto"/>
              </w:rPr>
            </w:pPr>
            <w:r>
              <w:rPr>
                <w:rStyle w:val="Enfasigrassetto"/>
              </w:rPr>
              <w:t>Heiko Eber</w:t>
            </w:r>
          </w:p>
          <w:p w14:paraId="6E0C4057" w14:textId="77777777" w:rsidR="0037142E" w:rsidRPr="0037142E" w:rsidRDefault="0037142E" w:rsidP="00C96928">
            <w:pPr>
              <w:autoSpaceDE w:val="0"/>
              <w:autoSpaceDN w:val="0"/>
              <w:adjustRightInd w:val="0"/>
              <w:spacing w:before="0"/>
              <w:ind w:left="144"/>
            </w:pPr>
            <w:r>
              <w:t>Head of Investor Relations</w:t>
            </w:r>
            <w:r>
              <w:br/>
            </w:r>
          </w:p>
          <w:p w14:paraId="670D3846" w14:textId="77777777" w:rsidR="0037142E" w:rsidRPr="00445EE5" w:rsidRDefault="0037142E" w:rsidP="00C96928">
            <w:pPr>
              <w:autoSpaceDE w:val="0"/>
              <w:autoSpaceDN w:val="0"/>
              <w:adjustRightInd w:val="0"/>
              <w:spacing w:before="0"/>
              <w:ind w:left="144"/>
              <w:rPr>
                <w:lang w:val="de-DE"/>
              </w:rPr>
            </w:pPr>
            <w:r w:rsidRPr="00445EE5">
              <w:rPr>
                <w:lang w:val="de-DE"/>
              </w:rPr>
              <w:t>Schaeffler AG, Herzogenaurach, Germany</w:t>
            </w:r>
          </w:p>
          <w:p w14:paraId="0134BA36" w14:textId="77777777" w:rsidR="0037142E" w:rsidRPr="00445EE5" w:rsidRDefault="0037142E" w:rsidP="00C96928">
            <w:pPr>
              <w:ind w:left="144" w:right="284"/>
              <w:rPr>
                <w:rStyle w:val="Collegamentoipertestuale"/>
                <w:lang w:val="de-DE"/>
              </w:rPr>
            </w:pPr>
            <w:r>
              <w:rPr>
                <w:noProof/>
                <w:lang w:val="de-DE" w:eastAsia="de-DE"/>
              </w:rPr>
              <w:drawing>
                <wp:inline distT="0" distB="0" distL="0" distR="0" wp14:anchorId="3ADEEA26" wp14:editId="14C981CF">
                  <wp:extent cx="129540" cy="129540"/>
                  <wp:effectExtent l="0" t="0" r="381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29540" cy="129540"/>
                          </a:xfrm>
                          <a:prstGeom prst="rect">
                            <a:avLst/>
                          </a:prstGeom>
                          <a:noFill/>
                          <a:ln>
                            <a:noFill/>
                          </a:ln>
                        </pic:spPr>
                      </pic:pic>
                    </a:graphicData>
                  </a:graphic>
                </wp:inline>
              </w:drawing>
            </w:r>
            <w:r w:rsidRPr="00445EE5">
              <w:rPr>
                <w:lang w:val="de-DE"/>
              </w:rPr>
              <w:t xml:space="preserve">  +49 9132 82 88125</w:t>
            </w:r>
            <w:r w:rsidRPr="00445EE5">
              <w:rPr>
                <w:lang w:val="de-DE"/>
              </w:rPr>
              <w:br/>
            </w:r>
            <w:r>
              <w:rPr>
                <w:noProof/>
                <w:sz w:val="20"/>
                <w:lang w:val="de-DE" w:eastAsia="de-DE"/>
              </w:rPr>
              <w:drawing>
                <wp:inline distT="0" distB="0" distL="0" distR="0" wp14:anchorId="1185990D" wp14:editId="4D4D39B3">
                  <wp:extent cx="136800" cy="93600"/>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ail_rgb.png"/>
                          <pic:cNvPicPr/>
                        </pic:nvPicPr>
                        <pic:blipFill>
                          <a:blip r:embed="rId12" cstate="screen">
                            <a:extLst>
                              <a:ext uri="{28A0092B-C50C-407E-A947-70E740481C1C}">
                                <a14:useLocalDpi xmlns:a14="http://schemas.microsoft.com/office/drawing/2010/main"/>
                              </a:ext>
                            </a:extLst>
                          </a:blip>
                          <a:stretch>
                            <a:fillRect/>
                          </a:stretch>
                        </pic:blipFill>
                        <pic:spPr>
                          <a:xfrm>
                            <a:off x="0" y="0"/>
                            <a:ext cx="136800" cy="93600"/>
                          </a:xfrm>
                          <a:prstGeom prst="rect">
                            <a:avLst/>
                          </a:prstGeom>
                        </pic:spPr>
                      </pic:pic>
                    </a:graphicData>
                  </a:graphic>
                </wp:inline>
              </w:drawing>
            </w:r>
            <w:r w:rsidRPr="00445EE5">
              <w:rPr>
                <w:sz w:val="20"/>
                <w:lang w:val="de-DE"/>
              </w:rPr>
              <w:t xml:space="preserve">  </w:t>
            </w:r>
            <w:hyperlink r:id="rId14" w:history="1">
              <w:r w:rsidRPr="00445EE5">
                <w:rPr>
                  <w:rStyle w:val="Collegamentoipertestuale"/>
                  <w:lang w:val="de-DE"/>
                </w:rPr>
                <w:t>heiko.eber@schaeffler.com</w:t>
              </w:r>
            </w:hyperlink>
          </w:p>
          <w:p w14:paraId="5ED868DB" w14:textId="77777777" w:rsidR="0037142E" w:rsidRPr="00445EE5" w:rsidRDefault="0037142E" w:rsidP="00C96928">
            <w:pPr>
              <w:spacing w:before="0"/>
              <w:ind w:left="144"/>
              <w:rPr>
                <w:rStyle w:val="Enfasigrassetto"/>
                <w:sz w:val="20"/>
                <w:lang w:val="de-DE"/>
              </w:rPr>
            </w:pPr>
          </w:p>
        </w:tc>
      </w:tr>
      <w:tr w:rsidR="0037142E" w:rsidRPr="00185D94" w14:paraId="29EA2F4C" w14:textId="77777777" w:rsidTr="00C96928">
        <w:tc>
          <w:tcPr>
            <w:tcW w:w="4111" w:type="dxa"/>
          </w:tcPr>
          <w:p w14:paraId="18875905" w14:textId="59829886" w:rsidR="0037142E" w:rsidRPr="00185D94" w:rsidRDefault="0037142E" w:rsidP="00C96928">
            <w:pPr>
              <w:autoSpaceDE w:val="0"/>
              <w:autoSpaceDN w:val="0"/>
              <w:adjustRightInd w:val="0"/>
            </w:pPr>
            <w:r>
              <w:rPr>
                <w:rStyle w:val="Enfasigrassetto"/>
              </w:rPr>
              <w:t>Matthias Herms</w:t>
            </w:r>
            <w:r>
              <w:rPr>
                <w:rStyle w:val="Enfasigrassetto"/>
              </w:rPr>
              <w:br/>
            </w:r>
            <w:r>
              <w:t>Head of Communications Finance, CSR &amp; Sustainability</w:t>
            </w:r>
            <w:r>
              <w:br/>
              <w:t>Schaeffler AG, Herzogenaurach</w:t>
            </w:r>
            <w:r w:rsidR="009A53A0">
              <w:br/>
            </w:r>
          </w:p>
          <w:p w14:paraId="1B6EC91E" w14:textId="77777777" w:rsidR="0037142E" w:rsidRDefault="0037142E" w:rsidP="00C96928">
            <w:pPr>
              <w:autoSpaceDE w:val="0"/>
              <w:autoSpaceDN w:val="0"/>
              <w:adjustRightInd w:val="0"/>
              <w:spacing w:before="0"/>
              <w:ind w:right="282"/>
              <w:rPr>
                <w:rStyle w:val="Enfasigrassetto"/>
              </w:rPr>
            </w:pPr>
            <w:r>
              <w:rPr>
                <w:noProof/>
                <w:sz w:val="20"/>
                <w:lang w:val="de-DE" w:eastAsia="de-DE"/>
              </w:rPr>
              <w:drawing>
                <wp:inline distT="0" distB="0" distL="0" distR="0" wp14:anchorId="26AB67CA" wp14:editId="18B9691B">
                  <wp:extent cx="129600" cy="129600"/>
                  <wp:effectExtent l="0" t="0" r="3810" b="381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hone_rgb.png"/>
                          <pic:cNvPicPr/>
                        </pic:nvPicPr>
                        <pic:blipFill>
                          <a:blip r:embed="rId11" cstate="screen">
                            <a:extLst>
                              <a:ext uri="{28A0092B-C50C-407E-A947-70E740481C1C}">
                                <a14:useLocalDpi xmlns:a14="http://schemas.microsoft.com/office/drawing/2010/main"/>
                              </a:ext>
                            </a:extLst>
                          </a:blip>
                          <a:stretch>
                            <a:fillRect/>
                          </a:stretch>
                        </pic:blipFill>
                        <pic:spPr>
                          <a:xfrm>
                            <a:off x="0" y="0"/>
                            <a:ext cx="129600" cy="129600"/>
                          </a:xfrm>
                          <a:prstGeom prst="rect">
                            <a:avLst/>
                          </a:prstGeom>
                        </pic:spPr>
                      </pic:pic>
                    </a:graphicData>
                  </a:graphic>
                </wp:inline>
              </w:drawing>
            </w:r>
            <w:r>
              <w:rPr>
                <w:sz w:val="20"/>
              </w:rPr>
              <w:t xml:space="preserve">  </w:t>
            </w:r>
            <w:r>
              <w:t>+49 9132 82 37314</w:t>
            </w:r>
            <w:r>
              <w:br/>
            </w:r>
            <w:r>
              <w:rPr>
                <w:noProof/>
                <w:lang w:val="de-DE" w:eastAsia="de-DE"/>
              </w:rPr>
              <w:drawing>
                <wp:inline distT="0" distB="0" distL="0" distR="0" wp14:anchorId="1C01F78B" wp14:editId="128254F5">
                  <wp:extent cx="136800" cy="93600"/>
                  <wp:effectExtent l="0" t="0" r="0" b="1905"/>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ail_rgb.png"/>
                          <pic:cNvPicPr/>
                        </pic:nvPicPr>
                        <pic:blipFill>
                          <a:blip r:embed="rId12" cstate="screen">
                            <a:extLst>
                              <a:ext uri="{28A0092B-C50C-407E-A947-70E740481C1C}">
                                <a14:useLocalDpi xmlns:a14="http://schemas.microsoft.com/office/drawing/2010/main"/>
                              </a:ext>
                            </a:extLst>
                          </a:blip>
                          <a:stretch>
                            <a:fillRect/>
                          </a:stretch>
                        </pic:blipFill>
                        <pic:spPr>
                          <a:xfrm>
                            <a:off x="0" y="0"/>
                            <a:ext cx="136800" cy="93600"/>
                          </a:xfrm>
                          <a:prstGeom prst="rect">
                            <a:avLst/>
                          </a:prstGeom>
                        </pic:spPr>
                      </pic:pic>
                    </a:graphicData>
                  </a:graphic>
                </wp:inline>
              </w:drawing>
            </w:r>
            <w:r>
              <w:t xml:space="preserve">  </w:t>
            </w:r>
            <w:hyperlink r:id="rId15" w:history="1">
              <w:r>
                <w:rPr>
                  <w:rStyle w:val="Collegamentoipertestuale"/>
                </w:rPr>
                <w:t>matthias.herms@schaeffler.com</w:t>
              </w:r>
            </w:hyperlink>
            <w:r>
              <w:rPr>
                <w:sz w:val="20"/>
              </w:rPr>
              <w:br/>
            </w:r>
          </w:p>
        </w:tc>
        <w:tc>
          <w:tcPr>
            <w:tcW w:w="3544" w:type="dxa"/>
          </w:tcPr>
          <w:p w14:paraId="4DAABB8F" w14:textId="470230C6" w:rsidR="0037142E" w:rsidRDefault="0037142E" w:rsidP="00C96928">
            <w:pPr>
              <w:autoSpaceDE w:val="0"/>
              <w:autoSpaceDN w:val="0"/>
              <w:adjustRightInd w:val="0"/>
              <w:spacing w:before="0"/>
              <w:ind w:left="144"/>
              <w:rPr>
                <w:rStyle w:val="Enfasigrassetto"/>
              </w:rPr>
            </w:pPr>
            <w:r>
              <w:rPr>
                <w:color w:val="00893D" w:themeColor="background2"/>
              </w:rPr>
              <w:br/>
            </w:r>
          </w:p>
        </w:tc>
      </w:tr>
    </w:tbl>
    <w:p w14:paraId="182541FD" w14:textId="77777777" w:rsidR="0037142E" w:rsidRDefault="0037142E" w:rsidP="0037142E">
      <w:pPr>
        <w:pStyle w:val="Hinweis"/>
        <w:rPr>
          <w:lang w:val="de-DE"/>
        </w:rPr>
      </w:pPr>
    </w:p>
    <w:p w14:paraId="68615668" w14:textId="77777777" w:rsidR="0037142E" w:rsidRDefault="0037142E" w:rsidP="0037142E">
      <w:pPr>
        <w:pStyle w:val="Hinweis"/>
      </w:pPr>
      <w:r>
        <w:rPr>
          <w:noProof/>
          <w:lang w:val="de-DE" w:eastAsia="de-DE"/>
        </w:rPr>
        <mc:AlternateContent>
          <mc:Choice Requires="wps">
            <w:drawing>
              <wp:anchor distT="0" distB="0" distL="114300" distR="114300" simplePos="0" relativeHeight="251662336" behindDoc="0" locked="0" layoutInCell="1" allowOverlap="1" wp14:anchorId="3BC30A45" wp14:editId="446DBAC7">
                <wp:simplePos x="0" y="0"/>
                <wp:positionH relativeFrom="column">
                  <wp:posOffset>0</wp:posOffset>
                </wp:positionH>
                <wp:positionV relativeFrom="paragraph">
                  <wp:posOffset>0</wp:posOffset>
                </wp:positionV>
                <wp:extent cx="4681728"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74B82B"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strokecolor="#5d4d4c [2409]" strokeweight=".5pt"/>
            </w:pict>
          </mc:Fallback>
        </mc:AlternateContent>
      </w:r>
    </w:p>
    <w:p w14:paraId="633A4F5B" w14:textId="77777777" w:rsidR="00B01047" w:rsidRPr="00E33492" w:rsidRDefault="00B01047" w:rsidP="00B01047">
      <w:pPr>
        <w:spacing w:line="240" w:lineRule="auto"/>
        <w:rPr>
          <w:lang w:val="en-GB"/>
        </w:rPr>
      </w:pPr>
      <w:r w:rsidRPr="00564AE3">
        <w:rPr>
          <w:noProof/>
          <w:lang w:val="en-GB"/>
        </w:rPr>
        <w:drawing>
          <wp:inline distT="0" distB="0" distL="0" distR="0" wp14:anchorId="4F034DCB" wp14:editId="4CCC48A0">
            <wp:extent cx="247015" cy="247015"/>
            <wp:effectExtent l="0" t="0" r="635" b="635"/>
            <wp:docPr id="18" name="Grafik 18" descr="A white globe in a grey circle&#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white globe in a grey circle&#10;&#10;Description automatically generated">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015" cy="247015"/>
                    </a:xfrm>
                    <a:prstGeom prst="rect">
                      <a:avLst/>
                    </a:prstGeom>
                    <a:noFill/>
                    <a:ln>
                      <a:noFill/>
                    </a:ln>
                  </pic:spPr>
                </pic:pic>
              </a:graphicData>
            </a:graphic>
          </wp:inline>
        </w:drawing>
      </w:r>
      <w:r w:rsidRPr="00564AE3">
        <w:rPr>
          <w:lang w:val="en-GB"/>
        </w:rPr>
        <w:t xml:space="preserve">    </w:t>
      </w:r>
      <w:r w:rsidRPr="00564AE3">
        <w:rPr>
          <w:rFonts w:ascii="Calibri" w:hAnsi="Calibri"/>
          <w:noProof/>
          <w:lang w:val="en-GB"/>
        </w:rPr>
        <w:drawing>
          <wp:inline distT="0" distB="0" distL="0" distR="0" wp14:anchorId="540B00D5" wp14:editId="46594866">
            <wp:extent cx="257810" cy="257810"/>
            <wp:effectExtent l="0" t="0" r="8890" b="8890"/>
            <wp:docPr id="25" name="Grafik 25" descr="A grey circle with white letters&#10;&#10;Description automatically generat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grey circle with white letters&#10;&#10;Description automatically generated">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7810" cy="257810"/>
                    </a:xfrm>
                    <a:prstGeom prst="rect">
                      <a:avLst/>
                    </a:prstGeom>
                    <a:noFill/>
                    <a:ln>
                      <a:noFill/>
                    </a:ln>
                  </pic:spPr>
                </pic:pic>
              </a:graphicData>
            </a:graphic>
          </wp:inline>
        </w:drawing>
      </w:r>
      <w:r w:rsidRPr="00564AE3">
        <w:rPr>
          <w:lang w:val="en-GB"/>
        </w:rPr>
        <w:t xml:space="preserve">    </w:t>
      </w:r>
      <w:r w:rsidRPr="00564AE3">
        <w:rPr>
          <w:noProof/>
          <w:lang w:val="en-GB"/>
        </w:rPr>
        <w:drawing>
          <wp:inline distT="0" distB="0" distL="0" distR="0" wp14:anchorId="3EA39FB3" wp14:editId="26327C9B">
            <wp:extent cx="247015" cy="247015"/>
            <wp:effectExtent l="0" t="0" r="635" b="635"/>
            <wp:docPr id="748621093" name="Picture 748621093" descr="A white x in a circle&#10;&#10;Description automatically generated">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621093" name="Picture 748621093" descr="A white x in a circle&#10;&#10;Description automatically generated">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7015" cy="247015"/>
                    </a:xfrm>
                    <a:prstGeom prst="rect">
                      <a:avLst/>
                    </a:prstGeom>
                    <a:noFill/>
                    <a:ln>
                      <a:noFill/>
                    </a:ln>
                  </pic:spPr>
                </pic:pic>
              </a:graphicData>
            </a:graphic>
          </wp:inline>
        </w:drawing>
      </w:r>
      <w:r w:rsidRPr="00564AE3">
        <w:rPr>
          <w:lang w:val="en-GB"/>
        </w:rPr>
        <w:t xml:space="preserve">    </w:t>
      </w:r>
      <w:r w:rsidRPr="00564AE3">
        <w:rPr>
          <w:rFonts w:ascii="Calibri" w:hAnsi="Calibri"/>
          <w:noProof/>
          <w:lang w:val="en-GB"/>
        </w:rPr>
        <w:drawing>
          <wp:inline distT="0" distB="0" distL="0" distR="0" wp14:anchorId="79E31355" wp14:editId="17878DD8">
            <wp:extent cx="257810" cy="257810"/>
            <wp:effectExtent l="0" t="0" r="8890" b="8890"/>
            <wp:docPr id="854784089" name="Picture 854784089" descr="A white letter f in a grey circle&#10;&#10;Description automatically generated">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784089" name="Picture 854784089" descr="A white letter f in a grey circle&#10;&#10;Description automatically generated">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810" cy="257810"/>
                    </a:xfrm>
                    <a:prstGeom prst="rect">
                      <a:avLst/>
                    </a:prstGeom>
                    <a:noFill/>
                    <a:ln>
                      <a:noFill/>
                    </a:ln>
                  </pic:spPr>
                </pic:pic>
              </a:graphicData>
            </a:graphic>
          </wp:inline>
        </w:drawing>
      </w:r>
      <w:r w:rsidRPr="00564AE3">
        <w:rPr>
          <w:lang w:val="en-GB"/>
        </w:rPr>
        <w:t xml:space="preserve">    </w:t>
      </w:r>
      <w:r w:rsidRPr="00564AE3">
        <w:rPr>
          <w:noProof/>
          <w:lang w:val="en-GB"/>
        </w:rPr>
        <w:drawing>
          <wp:inline distT="0" distB="0" distL="0" distR="0" wp14:anchorId="49361D7B" wp14:editId="6CF1E914">
            <wp:extent cx="247015" cy="247015"/>
            <wp:effectExtent l="0" t="0" r="635" b="635"/>
            <wp:docPr id="26" name="Grafik 26" descr="A logo of a camera&#10;&#10;Description automatically generated">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logo of a camera&#10;&#10;Description automatically generated">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7015" cy="247015"/>
                    </a:xfrm>
                    <a:prstGeom prst="rect">
                      <a:avLst/>
                    </a:prstGeom>
                    <a:noFill/>
                    <a:ln>
                      <a:noFill/>
                    </a:ln>
                  </pic:spPr>
                </pic:pic>
              </a:graphicData>
            </a:graphic>
          </wp:inline>
        </w:drawing>
      </w:r>
      <w:r w:rsidRPr="00564AE3">
        <w:rPr>
          <w:lang w:val="en-GB"/>
        </w:rPr>
        <w:t xml:space="preserve">    </w:t>
      </w:r>
      <w:r w:rsidRPr="00564AE3">
        <w:rPr>
          <w:noProof/>
          <w:lang w:val="en-GB"/>
        </w:rPr>
        <w:drawing>
          <wp:inline distT="0" distB="0" distL="0" distR="0" wp14:anchorId="2D476584" wp14:editId="1B3F782C">
            <wp:extent cx="257810" cy="257810"/>
            <wp:effectExtent l="0" t="0" r="8890" b="8890"/>
            <wp:docPr id="12" name="Grafik 12" descr="A grey circle with a white play button&#10;&#10;Description automatically generated">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ey circle with a white play button&#10;&#10;Description automatically generated">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7810" cy="257810"/>
                    </a:xfrm>
                    <a:prstGeom prst="rect">
                      <a:avLst/>
                    </a:prstGeom>
                    <a:noFill/>
                    <a:ln>
                      <a:noFill/>
                    </a:ln>
                  </pic:spPr>
                </pic:pic>
              </a:graphicData>
            </a:graphic>
          </wp:inline>
        </w:drawing>
      </w:r>
    </w:p>
    <w:p w14:paraId="0673388F" w14:textId="37ED3C82" w:rsidR="00993A43" w:rsidRPr="005E4E62" w:rsidRDefault="00993A43" w:rsidP="0037142E">
      <w:pPr>
        <w:pStyle w:val="Hinweisfett"/>
        <w:jc w:val="both"/>
        <w:rPr>
          <w:rFonts w:ascii="Calibri" w:hAnsi="Calibri"/>
        </w:rPr>
      </w:pPr>
    </w:p>
    <w:sectPr w:rsidR="00993A43" w:rsidRPr="005E4E62" w:rsidSect="0033108C">
      <w:headerReference w:type="default" r:id="rId28"/>
      <w:footerReference w:type="default" r:id="rId29"/>
      <w:headerReference w:type="first" r:id="rId30"/>
      <w:footerReference w:type="first" r:id="rId31"/>
      <w:type w:val="continuous"/>
      <w:pgSz w:w="11906" w:h="16838" w:code="9"/>
      <w:pgMar w:top="2126" w:right="3175" w:bottom="567" w:left="1361"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1FCF8" w14:textId="77777777" w:rsidR="000F16D0" w:rsidRDefault="000F16D0" w:rsidP="00DF6567">
      <w:pPr>
        <w:spacing w:line="240" w:lineRule="auto"/>
      </w:pPr>
      <w:r>
        <w:separator/>
      </w:r>
    </w:p>
  </w:endnote>
  <w:endnote w:type="continuationSeparator" w:id="0">
    <w:p w14:paraId="4F67205C" w14:textId="77777777" w:rsidR="000F16D0" w:rsidRDefault="000F16D0" w:rsidP="00DF65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7735" w14:textId="2F91106A" w:rsidR="006A5C61" w:rsidRDefault="005B787E" w:rsidP="000A262F">
    <w:pPr>
      <w:pStyle w:val="BU"/>
    </w:pPr>
    <w:sdt>
      <w:sdtPr>
        <w:id w:val="-964120898"/>
        <w:docPartObj>
          <w:docPartGallery w:val="Page Numbers (Bottom of Page)"/>
          <w:docPartUnique/>
        </w:docPartObj>
      </w:sdtPr>
      <w:sdtEndPr/>
      <w:sdtContent>
        <w:r w:rsidR="006A5C61" w:rsidRPr="00AB5AB6">
          <w:fldChar w:fldCharType="begin"/>
        </w:r>
        <w:r w:rsidR="006A5C61" w:rsidRPr="00AB5AB6">
          <w:instrText>PAGE   \* MERGEFORMAT</w:instrText>
        </w:r>
        <w:r w:rsidR="006A5C61" w:rsidRPr="00AB5AB6">
          <w:fldChar w:fldCharType="separate"/>
        </w:r>
        <w:r w:rsidR="00FA413D">
          <w:t>8</w:t>
        </w:r>
        <w:r w:rsidR="006A5C61" w:rsidRPr="00AB5AB6">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9D6C" w14:textId="65871FF2" w:rsidR="00026162" w:rsidRDefault="005B787E" w:rsidP="000A262F">
    <w:pPr>
      <w:pStyle w:val="BU"/>
    </w:pPr>
    <w:sdt>
      <w:sdtPr>
        <w:id w:val="139475280"/>
        <w:docPartObj>
          <w:docPartGallery w:val="Page Numbers (Bottom of Page)"/>
          <w:docPartUnique/>
        </w:docPartObj>
      </w:sdtPr>
      <w:sdtEndPr/>
      <w:sdtContent>
        <w:r w:rsidR="00026162">
          <w:fldChar w:fldCharType="begin"/>
        </w:r>
        <w:r w:rsidR="00026162">
          <w:instrText>PAGE   \* MERGEFORMAT</w:instrText>
        </w:r>
        <w:r w:rsidR="00026162">
          <w:fldChar w:fldCharType="separate"/>
        </w:r>
        <w:r w:rsidR="00FA413D">
          <w:t>1</w:t>
        </w:r>
        <w:r w:rsidR="00026162">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3D610" w14:textId="77777777" w:rsidR="000F16D0" w:rsidRDefault="000F16D0" w:rsidP="00DF6567">
      <w:pPr>
        <w:spacing w:line="240" w:lineRule="auto"/>
      </w:pPr>
      <w:r>
        <w:separator/>
      </w:r>
    </w:p>
  </w:footnote>
  <w:footnote w:type="continuationSeparator" w:id="0">
    <w:p w14:paraId="7068C9AC" w14:textId="77777777" w:rsidR="000F16D0" w:rsidRDefault="000F16D0" w:rsidP="00DF6567">
      <w:pPr>
        <w:spacing w:line="240" w:lineRule="auto"/>
      </w:pPr>
      <w:r>
        <w:continuationSeparator/>
      </w:r>
    </w:p>
  </w:footnote>
  <w:footnote w:id="1">
    <w:p w14:paraId="7B813CDF" w14:textId="2EA2F4E9" w:rsidR="0027503A" w:rsidRPr="00562AA7" w:rsidRDefault="0027503A">
      <w:pPr>
        <w:pStyle w:val="Testonotaapidipagina"/>
        <w:rPr>
          <w:lang w:val="it-IT"/>
        </w:rPr>
      </w:pPr>
      <w:r>
        <w:rPr>
          <w:rStyle w:val="Rimandonotaapidipagina"/>
        </w:rPr>
        <w:footnoteRef/>
      </w:r>
      <w:r w:rsidRPr="00562AA7">
        <w:rPr>
          <w:lang w:val="it-IT"/>
        </w:rPr>
        <w:t xml:space="preserve"> </w:t>
      </w:r>
      <w:r w:rsidR="00562AA7" w:rsidRPr="00562AA7">
        <w:rPr>
          <w:lang w:val="it-IT"/>
        </w:rPr>
        <w:t>Gli importi comparativi proforma si basano sull’assunzione che Vitesco sia stata acquisita al 1° gennaio 2024 e sia quindi inclusa integralmente negli importi dell’anno precedente. Per ulteriori informazioni, si veda il rapporto annuale 2025, pag. i41. Gli importi proforma 2024 sopra indicati e le relative informazioni non sono stati oggetto di revisione contabile.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8914" w14:textId="2E1C3138" w:rsidR="00DF6567" w:rsidRDefault="007C0770" w:rsidP="007C0770">
    <w:pPr>
      <w:pStyle w:val="Intestazione"/>
      <w:tabs>
        <w:tab w:val="clear" w:pos="4536"/>
      </w:tabs>
    </w:pPr>
    <w:r>
      <w:rPr>
        <w:noProof/>
        <w:lang w:val="de-DE" w:eastAsia="de-DE"/>
      </w:rPr>
      <w:drawing>
        <wp:anchor distT="0" distB="0" distL="114300" distR="114300" simplePos="0" relativeHeight="251659264" behindDoc="1" locked="1" layoutInCell="0" allowOverlap="1" wp14:anchorId="0A27EC47" wp14:editId="17072854">
          <wp:simplePos x="0" y="0"/>
          <wp:positionH relativeFrom="page">
            <wp:posOffset>5544820</wp:posOffset>
          </wp:positionH>
          <wp:positionV relativeFrom="page">
            <wp:posOffset>575945</wp:posOffset>
          </wp:positionV>
          <wp:extent cx="1440000" cy="162000"/>
          <wp:effectExtent l="0" t="0" r="8255"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CHAEFFLER_cmyk_SZ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6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1906" w14:textId="62318DA4" w:rsidR="00AB5AB6" w:rsidRDefault="00AB5AB6">
    <w:pPr>
      <w:pStyle w:val="Intestazione"/>
    </w:pPr>
    <w:r>
      <w:rPr>
        <w:noProof/>
        <w:lang w:val="de-DE" w:eastAsia="de-DE"/>
      </w:rPr>
      <mc:AlternateContent>
        <mc:Choice Requires="wps">
          <w:drawing>
            <wp:anchor distT="0" distB="0" distL="114300" distR="114300" simplePos="0" relativeHeight="251665408" behindDoc="0" locked="1" layoutInCell="0" allowOverlap="1" wp14:anchorId="6FD69252" wp14:editId="64C7A7C8">
              <wp:simplePos x="0" y="0"/>
              <wp:positionH relativeFrom="page">
                <wp:posOffset>864235</wp:posOffset>
              </wp:positionH>
              <wp:positionV relativeFrom="page">
                <wp:posOffset>1771650</wp:posOffset>
              </wp:positionV>
              <wp:extent cx="208800" cy="1080000"/>
              <wp:effectExtent l="0" t="0" r="1270" b="6350"/>
              <wp:wrapNone/>
              <wp:docPr id="1" name="Rechteck 1"/>
              <wp:cNvGraphicFramePr/>
              <a:graphic xmlns:a="http://schemas.openxmlformats.org/drawingml/2006/main">
                <a:graphicData uri="http://schemas.microsoft.com/office/word/2010/wordprocessingShape">
                  <wps:wsp>
                    <wps:cNvSpPr/>
                    <wps:spPr>
                      <a:xfrm>
                        <a:off x="0" y="0"/>
                        <a:ext cx="208800" cy="108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94706" id="Rechteck 1" o:spid="_x0000_s1026" style="position:absolute;margin-left:68.05pt;margin-top:139.5pt;width:16.45pt;height:85.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" o:allowincell="f" fillcolor="#00893d [3214]" stroked="f" strokeweight="2pt">
              <w10:wrap anchorx="page" anchory="page"/>
              <w10:anchorlock/>
            </v:rect>
          </w:pict>
        </mc:Fallback>
      </mc:AlternateContent>
    </w:r>
    <w:r>
      <w:rPr>
        <w:noProof/>
        <w:lang w:val="de-DE" w:eastAsia="de-DE"/>
      </w:rPr>
      <mc:AlternateContent>
        <mc:Choice Requires="wps">
          <w:drawing>
            <wp:anchor distT="45720" distB="45720" distL="114300" distR="114300" simplePos="0" relativeHeight="251666432" behindDoc="0" locked="1" layoutInCell="1" allowOverlap="1" wp14:anchorId="5C443FF7" wp14:editId="4B88D828">
              <wp:simplePos x="0" y="0"/>
              <wp:positionH relativeFrom="margin">
                <wp:align>left</wp:align>
              </wp:positionH>
              <wp:positionV relativeFrom="page">
                <wp:posOffset>860425</wp:posOffset>
              </wp:positionV>
              <wp:extent cx="2696400" cy="1404620"/>
              <wp:effectExtent l="0" t="0" r="8890" b="381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400" cy="1404620"/>
                      </a:xfrm>
                      <a:prstGeom prst="rect">
                        <a:avLst/>
                      </a:prstGeom>
                      <a:solidFill>
                        <a:srgbClr val="FFFFFF"/>
                      </a:solidFill>
                      <a:ln w="9525">
                        <a:noFill/>
                        <a:miter lim="800000"/>
                        <a:headEnd/>
                        <a:tailEnd/>
                      </a:ln>
                    </wps:spPr>
                    <wps:txbx>
                      <w:txbxContent>
                        <w:p w14:paraId="4A753E94" w14:textId="29F2AC67" w:rsidR="00AB5AB6" w:rsidRPr="00E21000" w:rsidRDefault="00E21000" w:rsidP="00153B3F">
                          <w:pPr>
                            <w:spacing w:before="0" w:line="280" w:lineRule="exact"/>
                            <w:rPr>
                              <w:szCs w:val="20"/>
                              <w:lang w:val="it-IT"/>
                            </w:rPr>
                          </w:pPr>
                          <w:r>
                            <w:rPr>
                              <w:lang w:val="it-IT"/>
                            </w:rPr>
                            <w:t>Comunicato stampa e IR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443FF7" id="_x0000_t202" coordsize="21600,21600" o:spt="202" path="m,l,21600r21600,l21600,xe">
              <v:stroke joinstyle="miter"/>
              <v:path gradientshapeok="t" o:connecttype="rect"/>
            </v:shapetype>
            <v:shape id="Textfeld 2" o:spid="_x0000_s1026" type="#_x0000_t202" style="position:absolute;margin-left:0;margin-top:67.75pt;width:212.3pt;height:110.6pt;z-index:251666432;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" stroked="f">
              <v:textbox style="mso-fit-shape-to-text:t" inset="0,0,0,0">
                <w:txbxContent>
                  <w:p w14:paraId="4A753E94" w14:textId="29F2AC67" w:rsidR="00AB5AB6" w:rsidRPr="00E21000" w:rsidRDefault="00E21000" w:rsidP="00153B3F">
                    <w:pPr>
                      <w:spacing w:before="0" w:line="280" w:lineRule="exact"/>
                      <w:rPr>
                        <w:szCs w:val="20"/>
                        <w:lang w:val="it-IT"/>
                      </w:rPr>
                    </w:pPr>
                    <w:r>
                      <w:rPr>
                        <w:lang w:val="it-IT"/>
                      </w:rPr>
                      <w:t>Comunicato stampa e IR</w:t>
                    </w:r>
                  </w:p>
                </w:txbxContent>
              </v:textbox>
              <w10:wrap type="square" anchorx="margin" anchory="page"/>
              <w10:anchorlock/>
            </v:shape>
          </w:pict>
        </mc:Fallback>
      </mc:AlternateContent>
    </w:r>
    <w:r>
      <w:rPr>
        <w:noProof/>
        <w:lang w:val="de-DE" w:eastAsia="de-DE"/>
      </w:rPr>
      <w:drawing>
        <wp:anchor distT="0" distB="0" distL="114300" distR="114300" simplePos="0" relativeHeight="251663360" behindDoc="1" locked="1" layoutInCell="0" allowOverlap="1" wp14:anchorId="3BE3A7A5" wp14:editId="389064DF">
          <wp:simplePos x="0" y="0"/>
          <wp:positionH relativeFrom="page">
            <wp:posOffset>5544820</wp:posOffset>
          </wp:positionH>
          <wp:positionV relativeFrom="page">
            <wp:posOffset>575945</wp:posOffset>
          </wp:positionV>
          <wp:extent cx="1440000" cy="162000"/>
          <wp:effectExtent l="0" t="0" r="8255" b="952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CHAEFFLER_cmyk_SZ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6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B9639B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34E122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CA8866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F5AD24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E48706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A26161"/>
    <w:multiLevelType w:val="hybridMultilevel"/>
    <w:tmpl w:val="9384AD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800239"/>
    <w:multiLevelType w:val="hybridMultilevel"/>
    <w:tmpl w:val="5D7A67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3AF538D"/>
    <w:multiLevelType w:val="hybridMultilevel"/>
    <w:tmpl w:val="2A36AA32"/>
    <w:lvl w:ilvl="0" w:tplc="F552D5C6">
      <w:start w:val="1"/>
      <w:numFmt w:val="bullet"/>
      <w:pStyle w:val="Paragrafoelenco"/>
      <w:lvlText w:val=""/>
      <w:lvlJc w:val="left"/>
      <w:pPr>
        <w:ind w:left="890" w:hanging="360"/>
      </w:pPr>
      <w:rPr>
        <w:rFonts w:ascii="Symbol" w:hAnsi="Symbol" w:hint="default"/>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8" w15:restartNumberingAfterBreak="0">
    <w:nsid w:val="47FC59C3"/>
    <w:multiLevelType w:val="hybridMultilevel"/>
    <w:tmpl w:val="AC3C2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C83632"/>
    <w:multiLevelType w:val="hybridMultilevel"/>
    <w:tmpl w:val="CB90F1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BD36573"/>
    <w:multiLevelType w:val="hybridMultilevel"/>
    <w:tmpl w:val="C352B7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C142DB3"/>
    <w:multiLevelType w:val="hybridMultilevel"/>
    <w:tmpl w:val="F88A88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C4400A3"/>
    <w:multiLevelType w:val="multilevel"/>
    <w:tmpl w:val="547EBD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806746">
    <w:abstractNumId w:val="6"/>
  </w:num>
  <w:num w:numId="2" w16cid:durableId="936521541">
    <w:abstractNumId w:val="5"/>
  </w:num>
  <w:num w:numId="3" w16cid:durableId="1838954212">
    <w:abstractNumId w:val="10"/>
  </w:num>
  <w:num w:numId="4" w16cid:durableId="760685156">
    <w:abstractNumId w:val="11"/>
  </w:num>
  <w:num w:numId="5" w16cid:durableId="1358890575">
    <w:abstractNumId w:val="8"/>
  </w:num>
  <w:num w:numId="6" w16cid:durableId="1367559206">
    <w:abstractNumId w:val="7"/>
  </w:num>
  <w:num w:numId="7" w16cid:durableId="972103004">
    <w:abstractNumId w:val="9"/>
  </w:num>
  <w:num w:numId="8" w16cid:durableId="804081828">
    <w:abstractNumId w:val="4"/>
  </w:num>
  <w:num w:numId="9" w16cid:durableId="276376572">
    <w:abstractNumId w:val="3"/>
  </w:num>
  <w:num w:numId="10" w16cid:durableId="1360010419">
    <w:abstractNumId w:val="2"/>
  </w:num>
  <w:num w:numId="11" w16cid:durableId="1542591620">
    <w:abstractNumId w:val="1"/>
  </w:num>
  <w:num w:numId="12" w16cid:durableId="1710833918">
    <w:abstractNumId w:val="0"/>
  </w:num>
  <w:num w:numId="13" w16cid:durableId="1797408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4E62"/>
    <w:rsid w:val="00005AF1"/>
    <w:rsid w:val="00015FD4"/>
    <w:rsid w:val="0002077D"/>
    <w:rsid w:val="00020B69"/>
    <w:rsid w:val="00026162"/>
    <w:rsid w:val="0002634A"/>
    <w:rsid w:val="0002674E"/>
    <w:rsid w:val="000365D7"/>
    <w:rsid w:val="00045563"/>
    <w:rsid w:val="00047292"/>
    <w:rsid w:val="00055D50"/>
    <w:rsid w:val="000715BD"/>
    <w:rsid w:val="00075654"/>
    <w:rsid w:val="00080986"/>
    <w:rsid w:val="00084679"/>
    <w:rsid w:val="00087AE0"/>
    <w:rsid w:val="00095AF9"/>
    <w:rsid w:val="0009735C"/>
    <w:rsid w:val="000A183F"/>
    <w:rsid w:val="000A262F"/>
    <w:rsid w:val="000B7339"/>
    <w:rsid w:val="000C57A5"/>
    <w:rsid w:val="000D1F41"/>
    <w:rsid w:val="000D3447"/>
    <w:rsid w:val="000D3A25"/>
    <w:rsid w:val="000D5916"/>
    <w:rsid w:val="000E100D"/>
    <w:rsid w:val="000E67F0"/>
    <w:rsid w:val="000F16D0"/>
    <w:rsid w:val="00105DA7"/>
    <w:rsid w:val="00105E3C"/>
    <w:rsid w:val="00106786"/>
    <w:rsid w:val="00110946"/>
    <w:rsid w:val="00110B54"/>
    <w:rsid w:val="00111ABF"/>
    <w:rsid w:val="001120D8"/>
    <w:rsid w:val="00113A4F"/>
    <w:rsid w:val="00116AE5"/>
    <w:rsid w:val="0012719B"/>
    <w:rsid w:val="00127218"/>
    <w:rsid w:val="001279DE"/>
    <w:rsid w:val="0013382E"/>
    <w:rsid w:val="00140EA5"/>
    <w:rsid w:val="00141206"/>
    <w:rsid w:val="001468E0"/>
    <w:rsid w:val="00153B3F"/>
    <w:rsid w:val="00162450"/>
    <w:rsid w:val="00180790"/>
    <w:rsid w:val="0018463E"/>
    <w:rsid w:val="001909D1"/>
    <w:rsid w:val="001A2241"/>
    <w:rsid w:val="001A4DFA"/>
    <w:rsid w:val="001A574A"/>
    <w:rsid w:val="001B2913"/>
    <w:rsid w:val="001B2EC1"/>
    <w:rsid w:val="001C1642"/>
    <w:rsid w:val="001D028C"/>
    <w:rsid w:val="001D4170"/>
    <w:rsid w:val="001D481B"/>
    <w:rsid w:val="001D5000"/>
    <w:rsid w:val="001D5838"/>
    <w:rsid w:val="001E40F5"/>
    <w:rsid w:val="001F0BB7"/>
    <w:rsid w:val="0020032C"/>
    <w:rsid w:val="002005DB"/>
    <w:rsid w:val="00214317"/>
    <w:rsid w:val="00220896"/>
    <w:rsid w:val="00225807"/>
    <w:rsid w:val="00226573"/>
    <w:rsid w:val="00227D81"/>
    <w:rsid w:val="002317C9"/>
    <w:rsid w:val="00245568"/>
    <w:rsid w:val="002507FC"/>
    <w:rsid w:val="00257A4C"/>
    <w:rsid w:val="00257DD2"/>
    <w:rsid w:val="0026024F"/>
    <w:rsid w:val="002616C5"/>
    <w:rsid w:val="00266394"/>
    <w:rsid w:val="0027503A"/>
    <w:rsid w:val="0027663D"/>
    <w:rsid w:val="00280260"/>
    <w:rsid w:val="002841BF"/>
    <w:rsid w:val="00286FE5"/>
    <w:rsid w:val="00291368"/>
    <w:rsid w:val="00296941"/>
    <w:rsid w:val="00296D53"/>
    <w:rsid w:val="002B0D36"/>
    <w:rsid w:val="002D13A1"/>
    <w:rsid w:val="002D5F0A"/>
    <w:rsid w:val="002E07EE"/>
    <w:rsid w:val="002E2C64"/>
    <w:rsid w:val="002E68F4"/>
    <w:rsid w:val="002F71F8"/>
    <w:rsid w:val="0030051C"/>
    <w:rsid w:val="00300D11"/>
    <w:rsid w:val="003022D5"/>
    <w:rsid w:val="0030412C"/>
    <w:rsid w:val="00305CD4"/>
    <w:rsid w:val="003060A0"/>
    <w:rsid w:val="00313E32"/>
    <w:rsid w:val="003147CD"/>
    <w:rsid w:val="00314F8E"/>
    <w:rsid w:val="00330634"/>
    <w:rsid w:val="0033108C"/>
    <w:rsid w:val="0033479E"/>
    <w:rsid w:val="00336E29"/>
    <w:rsid w:val="00345401"/>
    <w:rsid w:val="00347650"/>
    <w:rsid w:val="00347FBE"/>
    <w:rsid w:val="0035079B"/>
    <w:rsid w:val="00364707"/>
    <w:rsid w:val="00365026"/>
    <w:rsid w:val="0037142E"/>
    <w:rsid w:val="0037195E"/>
    <w:rsid w:val="00376E09"/>
    <w:rsid w:val="00387F60"/>
    <w:rsid w:val="00390428"/>
    <w:rsid w:val="00392F83"/>
    <w:rsid w:val="00393D06"/>
    <w:rsid w:val="003A13F8"/>
    <w:rsid w:val="003C16CC"/>
    <w:rsid w:val="003C2A2A"/>
    <w:rsid w:val="003C3376"/>
    <w:rsid w:val="003D4968"/>
    <w:rsid w:val="003E1C18"/>
    <w:rsid w:val="003F34A2"/>
    <w:rsid w:val="003F4FE2"/>
    <w:rsid w:val="003F63E1"/>
    <w:rsid w:val="004025EB"/>
    <w:rsid w:val="00426AD0"/>
    <w:rsid w:val="00432FA9"/>
    <w:rsid w:val="00436EAF"/>
    <w:rsid w:val="00445EE5"/>
    <w:rsid w:val="00446654"/>
    <w:rsid w:val="0044790B"/>
    <w:rsid w:val="0045257B"/>
    <w:rsid w:val="0045526D"/>
    <w:rsid w:val="00456BCA"/>
    <w:rsid w:val="004608AF"/>
    <w:rsid w:val="0046179C"/>
    <w:rsid w:val="004630FF"/>
    <w:rsid w:val="00466362"/>
    <w:rsid w:val="00470666"/>
    <w:rsid w:val="00470EA9"/>
    <w:rsid w:val="00472188"/>
    <w:rsid w:val="004740C9"/>
    <w:rsid w:val="004904A3"/>
    <w:rsid w:val="00490724"/>
    <w:rsid w:val="004911EC"/>
    <w:rsid w:val="004A5DBD"/>
    <w:rsid w:val="004A7DBF"/>
    <w:rsid w:val="004B114C"/>
    <w:rsid w:val="004B2BCC"/>
    <w:rsid w:val="004B70EF"/>
    <w:rsid w:val="004C458A"/>
    <w:rsid w:val="004E0514"/>
    <w:rsid w:val="004E32B0"/>
    <w:rsid w:val="004F022B"/>
    <w:rsid w:val="004F0FDA"/>
    <w:rsid w:val="004F752B"/>
    <w:rsid w:val="004F7564"/>
    <w:rsid w:val="00500906"/>
    <w:rsid w:val="00500C2C"/>
    <w:rsid w:val="00501304"/>
    <w:rsid w:val="00501E46"/>
    <w:rsid w:val="00504840"/>
    <w:rsid w:val="00506203"/>
    <w:rsid w:val="005150FD"/>
    <w:rsid w:val="00515CE8"/>
    <w:rsid w:val="005169F5"/>
    <w:rsid w:val="00517E83"/>
    <w:rsid w:val="00520B52"/>
    <w:rsid w:val="005232BD"/>
    <w:rsid w:val="00523C0B"/>
    <w:rsid w:val="005254C5"/>
    <w:rsid w:val="00535F38"/>
    <w:rsid w:val="00537BE2"/>
    <w:rsid w:val="00542810"/>
    <w:rsid w:val="00545FDD"/>
    <w:rsid w:val="005602C9"/>
    <w:rsid w:val="00562AA7"/>
    <w:rsid w:val="005650CD"/>
    <w:rsid w:val="00566AA0"/>
    <w:rsid w:val="00576FEC"/>
    <w:rsid w:val="0058579B"/>
    <w:rsid w:val="005926D5"/>
    <w:rsid w:val="00593C75"/>
    <w:rsid w:val="005A1556"/>
    <w:rsid w:val="005A7876"/>
    <w:rsid w:val="005B089F"/>
    <w:rsid w:val="005B787E"/>
    <w:rsid w:val="005D2320"/>
    <w:rsid w:val="005E4E62"/>
    <w:rsid w:val="005F148F"/>
    <w:rsid w:val="005F6738"/>
    <w:rsid w:val="005F6947"/>
    <w:rsid w:val="00600AC2"/>
    <w:rsid w:val="00622BF4"/>
    <w:rsid w:val="00624707"/>
    <w:rsid w:val="00631DF7"/>
    <w:rsid w:val="00632DB6"/>
    <w:rsid w:val="00633F92"/>
    <w:rsid w:val="00637215"/>
    <w:rsid w:val="00643858"/>
    <w:rsid w:val="00647DAD"/>
    <w:rsid w:val="00653F75"/>
    <w:rsid w:val="0065528E"/>
    <w:rsid w:val="006607A2"/>
    <w:rsid w:val="006636E9"/>
    <w:rsid w:val="006666F8"/>
    <w:rsid w:val="00671F6A"/>
    <w:rsid w:val="00677A29"/>
    <w:rsid w:val="00682D46"/>
    <w:rsid w:val="00683046"/>
    <w:rsid w:val="00692105"/>
    <w:rsid w:val="006A05A8"/>
    <w:rsid w:val="006A1B6D"/>
    <w:rsid w:val="006A3C83"/>
    <w:rsid w:val="006A3D31"/>
    <w:rsid w:val="006A5C61"/>
    <w:rsid w:val="006A643D"/>
    <w:rsid w:val="006B458F"/>
    <w:rsid w:val="006B6251"/>
    <w:rsid w:val="006B6318"/>
    <w:rsid w:val="006B6D6C"/>
    <w:rsid w:val="006C4A61"/>
    <w:rsid w:val="006D65F9"/>
    <w:rsid w:val="006D7558"/>
    <w:rsid w:val="006E73EF"/>
    <w:rsid w:val="006E754B"/>
    <w:rsid w:val="006E77CB"/>
    <w:rsid w:val="006F02BC"/>
    <w:rsid w:val="006F0FBF"/>
    <w:rsid w:val="007021F2"/>
    <w:rsid w:val="00707B60"/>
    <w:rsid w:val="007166DE"/>
    <w:rsid w:val="007170E6"/>
    <w:rsid w:val="0072195B"/>
    <w:rsid w:val="00731302"/>
    <w:rsid w:val="00731BC9"/>
    <w:rsid w:val="00731ECC"/>
    <w:rsid w:val="007331F1"/>
    <w:rsid w:val="007441E9"/>
    <w:rsid w:val="00751EA1"/>
    <w:rsid w:val="00764276"/>
    <w:rsid w:val="00766BDA"/>
    <w:rsid w:val="00767463"/>
    <w:rsid w:val="00770A45"/>
    <w:rsid w:val="007729E1"/>
    <w:rsid w:val="007776F5"/>
    <w:rsid w:val="007801F9"/>
    <w:rsid w:val="00782586"/>
    <w:rsid w:val="007857E2"/>
    <w:rsid w:val="0079072C"/>
    <w:rsid w:val="00792AB1"/>
    <w:rsid w:val="007975E0"/>
    <w:rsid w:val="007A31CF"/>
    <w:rsid w:val="007A4044"/>
    <w:rsid w:val="007B7885"/>
    <w:rsid w:val="007C0770"/>
    <w:rsid w:val="007C1897"/>
    <w:rsid w:val="007D00B0"/>
    <w:rsid w:val="007D0988"/>
    <w:rsid w:val="007F1EDD"/>
    <w:rsid w:val="007F2239"/>
    <w:rsid w:val="00800C19"/>
    <w:rsid w:val="00800D66"/>
    <w:rsid w:val="0080280D"/>
    <w:rsid w:val="00805F9A"/>
    <w:rsid w:val="00810BD1"/>
    <w:rsid w:val="0081556D"/>
    <w:rsid w:val="008201F9"/>
    <w:rsid w:val="0082084D"/>
    <w:rsid w:val="008216AA"/>
    <w:rsid w:val="00826FA0"/>
    <w:rsid w:val="00835247"/>
    <w:rsid w:val="00835BA1"/>
    <w:rsid w:val="008474A3"/>
    <w:rsid w:val="00851D1B"/>
    <w:rsid w:val="00856728"/>
    <w:rsid w:val="00857DD6"/>
    <w:rsid w:val="008604DD"/>
    <w:rsid w:val="00860C29"/>
    <w:rsid w:val="008657E8"/>
    <w:rsid w:val="00867BDF"/>
    <w:rsid w:val="00871B32"/>
    <w:rsid w:val="00873A11"/>
    <w:rsid w:val="00881427"/>
    <w:rsid w:val="0089037A"/>
    <w:rsid w:val="00895F28"/>
    <w:rsid w:val="008961AD"/>
    <w:rsid w:val="00896A37"/>
    <w:rsid w:val="008A01B0"/>
    <w:rsid w:val="008A118F"/>
    <w:rsid w:val="008C0BC7"/>
    <w:rsid w:val="008C6E0A"/>
    <w:rsid w:val="008D226B"/>
    <w:rsid w:val="008E5418"/>
    <w:rsid w:val="008E6F11"/>
    <w:rsid w:val="008E7388"/>
    <w:rsid w:val="008F1C24"/>
    <w:rsid w:val="008F578B"/>
    <w:rsid w:val="008F5CCB"/>
    <w:rsid w:val="009031C8"/>
    <w:rsid w:val="00903B66"/>
    <w:rsid w:val="00904836"/>
    <w:rsid w:val="009101DE"/>
    <w:rsid w:val="00911F16"/>
    <w:rsid w:val="00914DF9"/>
    <w:rsid w:val="009232BD"/>
    <w:rsid w:val="00930BDD"/>
    <w:rsid w:val="00931739"/>
    <w:rsid w:val="009344DD"/>
    <w:rsid w:val="00942EA7"/>
    <w:rsid w:val="0094671A"/>
    <w:rsid w:val="009467A3"/>
    <w:rsid w:val="009478DD"/>
    <w:rsid w:val="00947EA3"/>
    <w:rsid w:val="009560C2"/>
    <w:rsid w:val="00960268"/>
    <w:rsid w:val="00962B8E"/>
    <w:rsid w:val="00971DD3"/>
    <w:rsid w:val="0097439B"/>
    <w:rsid w:val="00984D26"/>
    <w:rsid w:val="009851B1"/>
    <w:rsid w:val="009853CB"/>
    <w:rsid w:val="009874B1"/>
    <w:rsid w:val="00993A43"/>
    <w:rsid w:val="00995AB0"/>
    <w:rsid w:val="00997A99"/>
    <w:rsid w:val="009A29DD"/>
    <w:rsid w:val="009A31C6"/>
    <w:rsid w:val="009A53A0"/>
    <w:rsid w:val="009A5847"/>
    <w:rsid w:val="009A631C"/>
    <w:rsid w:val="009A6878"/>
    <w:rsid w:val="009B056E"/>
    <w:rsid w:val="009B1DFF"/>
    <w:rsid w:val="009C3FCC"/>
    <w:rsid w:val="009D50CA"/>
    <w:rsid w:val="009D6F07"/>
    <w:rsid w:val="009E262A"/>
    <w:rsid w:val="009E29E2"/>
    <w:rsid w:val="009E6B62"/>
    <w:rsid w:val="009F5EBC"/>
    <w:rsid w:val="00A00362"/>
    <w:rsid w:val="00A01266"/>
    <w:rsid w:val="00A11665"/>
    <w:rsid w:val="00A154BD"/>
    <w:rsid w:val="00A2543C"/>
    <w:rsid w:val="00A2674B"/>
    <w:rsid w:val="00A344DD"/>
    <w:rsid w:val="00A37BDA"/>
    <w:rsid w:val="00A37E58"/>
    <w:rsid w:val="00A4180F"/>
    <w:rsid w:val="00A41903"/>
    <w:rsid w:val="00A43078"/>
    <w:rsid w:val="00A4386E"/>
    <w:rsid w:val="00A468F2"/>
    <w:rsid w:val="00A5182D"/>
    <w:rsid w:val="00A52044"/>
    <w:rsid w:val="00A52770"/>
    <w:rsid w:val="00A544B3"/>
    <w:rsid w:val="00A60018"/>
    <w:rsid w:val="00A67DFD"/>
    <w:rsid w:val="00A7210C"/>
    <w:rsid w:val="00A82D6A"/>
    <w:rsid w:val="00A86F2A"/>
    <w:rsid w:val="00A93220"/>
    <w:rsid w:val="00AA4D9E"/>
    <w:rsid w:val="00AA58ED"/>
    <w:rsid w:val="00AA738F"/>
    <w:rsid w:val="00AB11F9"/>
    <w:rsid w:val="00AB278F"/>
    <w:rsid w:val="00AB561A"/>
    <w:rsid w:val="00AB5AB6"/>
    <w:rsid w:val="00AD0056"/>
    <w:rsid w:val="00AD01E2"/>
    <w:rsid w:val="00AD103A"/>
    <w:rsid w:val="00AD276E"/>
    <w:rsid w:val="00AE4755"/>
    <w:rsid w:val="00AE6626"/>
    <w:rsid w:val="00AF23B0"/>
    <w:rsid w:val="00B00195"/>
    <w:rsid w:val="00B0090D"/>
    <w:rsid w:val="00B00A0E"/>
    <w:rsid w:val="00B01047"/>
    <w:rsid w:val="00B0162B"/>
    <w:rsid w:val="00B05DA3"/>
    <w:rsid w:val="00B05EFD"/>
    <w:rsid w:val="00B13126"/>
    <w:rsid w:val="00B161F6"/>
    <w:rsid w:val="00B174C1"/>
    <w:rsid w:val="00B1782B"/>
    <w:rsid w:val="00B21AC1"/>
    <w:rsid w:val="00B2433A"/>
    <w:rsid w:val="00B36844"/>
    <w:rsid w:val="00B43C35"/>
    <w:rsid w:val="00B4539E"/>
    <w:rsid w:val="00B4677C"/>
    <w:rsid w:val="00B468BB"/>
    <w:rsid w:val="00B53C7D"/>
    <w:rsid w:val="00B623D2"/>
    <w:rsid w:val="00B63A74"/>
    <w:rsid w:val="00B64917"/>
    <w:rsid w:val="00B71B07"/>
    <w:rsid w:val="00B726AE"/>
    <w:rsid w:val="00B948B4"/>
    <w:rsid w:val="00BA0F53"/>
    <w:rsid w:val="00BA52B8"/>
    <w:rsid w:val="00BB338E"/>
    <w:rsid w:val="00BB54CA"/>
    <w:rsid w:val="00BB723F"/>
    <w:rsid w:val="00BC1E27"/>
    <w:rsid w:val="00BC6214"/>
    <w:rsid w:val="00BD6A25"/>
    <w:rsid w:val="00BE26FD"/>
    <w:rsid w:val="00BE2E36"/>
    <w:rsid w:val="00BF0B75"/>
    <w:rsid w:val="00C009ED"/>
    <w:rsid w:val="00C017C1"/>
    <w:rsid w:val="00C0369C"/>
    <w:rsid w:val="00C13DBF"/>
    <w:rsid w:val="00C20591"/>
    <w:rsid w:val="00C20EA4"/>
    <w:rsid w:val="00C25F3B"/>
    <w:rsid w:val="00C2742C"/>
    <w:rsid w:val="00C32B09"/>
    <w:rsid w:val="00C62401"/>
    <w:rsid w:val="00C636E9"/>
    <w:rsid w:val="00C71202"/>
    <w:rsid w:val="00C7649A"/>
    <w:rsid w:val="00C8136C"/>
    <w:rsid w:val="00C81756"/>
    <w:rsid w:val="00C8725C"/>
    <w:rsid w:val="00C9124F"/>
    <w:rsid w:val="00C93F21"/>
    <w:rsid w:val="00C951DF"/>
    <w:rsid w:val="00C96B46"/>
    <w:rsid w:val="00C9724C"/>
    <w:rsid w:val="00CA29E8"/>
    <w:rsid w:val="00CA4042"/>
    <w:rsid w:val="00CB386D"/>
    <w:rsid w:val="00CB5B49"/>
    <w:rsid w:val="00CC1D3C"/>
    <w:rsid w:val="00CD0C9F"/>
    <w:rsid w:val="00CD0CA7"/>
    <w:rsid w:val="00CD57A1"/>
    <w:rsid w:val="00CD5E90"/>
    <w:rsid w:val="00CD61A6"/>
    <w:rsid w:val="00CD728F"/>
    <w:rsid w:val="00CD7AE9"/>
    <w:rsid w:val="00CD7E4A"/>
    <w:rsid w:val="00CE5B06"/>
    <w:rsid w:val="00CF0A14"/>
    <w:rsid w:val="00D00C35"/>
    <w:rsid w:val="00D053DF"/>
    <w:rsid w:val="00D05E72"/>
    <w:rsid w:val="00D07D55"/>
    <w:rsid w:val="00D20149"/>
    <w:rsid w:val="00D27390"/>
    <w:rsid w:val="00D30EDE"/>
    <w:rsid w:val="00D33680"/>
    <w:rsid w:val="00D34951"/>
    <w:rsid w:val="00D5589C"/>
    <w:rsid w:val="00D62638"/>
    <w:rsid w:val="00D63FDB"/>
    <w:rsid w:val="00D64A85"/>
    <w:rsid w:val="00D67346"/>
    <w:rsid w:val="00D764A7"/>
    <w:rsid w:val="00D80708"/>
    <w:rsid w:val="00D84056"/>
    <w:rsid w:val="00D87325"/>
    <w:rsid w:val="00DA3ACF"/>
    <w:rsid w:val="00DA4243"/>
    <w:rsid w:val="00DA4CBC"/>
    <w:rsid w:val="00DA57AB"/>
    <w:rsid w:val="00DA7F89"/>
    <w:rsid w:val="00DB077D"/>
    <w:rsid w:val="00DB07D9"/>
    <w:rsid w:val="00DB3359"/>
    <w:rsid w:val="00DB561C"/>
    <w:rsid w:val="00DC443C"/>
    <w:rsid w:val="00DC67FB"/>
    <w:rsid w:val="00DC6F13"/>
    <w:rsid w:val="00DC7D5B"/>
    <w:rsid w:val="00DD0904"/>
    <w:rsid w:val="00DD5C05"/>
    <w:rsid w:val="00DE284B"/>
    <w:rsid w:val="00DE2DC9"/>
    <w:rsid w:val="00DE3A5B"/>
    <w:rsid w:val="00DE3FE1"/>
    <w:rsid w:val="00DE5A3C"/>
    <w:rsid w:val="00DF6567"/>
    <w:rsid w:val="00E00C26"/>
    <w:rsid w:val="00E03073"/>
    <w:rsid w:val="00E03274"/>
    <w:rsid w:val="00E1423A"/>
    <w:rsid w:val="00E165B4"/>
    <w:rsid w:val="00E168B6"/>
    <w:rsid w:val="00E207CA"/>
    <w:rsid w:val="00E21000"/>
    <w:rsid w:val="00E24BDE"/>
    <w:rsid w:val="00E26F88"/>
    <w:rsid w:val="00E3111A"/>
    <w:rsid w:val="00E33898"/>
    <w:rsid w:val="00E47CE2"/>
    <w:rsid w:val="00E51A3F"/>
    <w:rsid w:val="00E61F65"/>
    <w:rsid w:val="00E73CB3"/>
    <w:rsid w:val="00E82546"/>
    <w:rsid w:val="00E830F6"/>
    <w:rsid w:val="00E9673A"/>
    <w:rsid w:val="00EA2B7F"/>
    <w:rsid w:val="00EB659B"/>
    <w:rsid w:val="00EC210D"/>
    <w:rsid w:val="00EC43CA"/>
    <w:rsid w:val="00EC6C3E"/>
    <w:rsid w:val="00ED2E7D"/>
    <w:rsid w:val="00ED5910"/>
    <w:rsid w:val="00EE571E"/>
    <w:rsid w:val="00EE634F"/>
    <w:rsid w:val="00EF176D"/>
    <w:rsid w:val="00EF2702"/>
    <w:rsid w:val="00EF3150"/>
    <w:rsid w:val="00F04524"/>
    <w:rsid w:val="00F06500"/>
    <w:rsid w:val="00F11031"/>
    <w:rsid w:val="00F200D9"/>
    <w:rsid w:val="00F22116"/>
    <w:rsid w:val="00F22E3C"/>
    <w:rsid w:val="00F22F46"/>
    <w:rsid w:val="00F4109D"/>
    <w:rsid w:val="00F438A6"/>
    <w:rsid w:val="00F4481F"/>
    <w:rsid w:val="00F453D9"/>
    <w:rsid w:val="00F45EF7"/>
    <w:rsid w:val="00F51227"/>
    <w:rsid w:val="00F57A16"/>
    <w:rsid w:val="00F6320E"/>
    <w:rsid w:val="00F74BF8"/>
    <w:rsid w:val="00F75806"/>
    <w:rsid w:val="00F80D99"/>
    <w:rsid w:val="00F86C76"/>
    <w:rsid w:val="00F878A1"/>
    <w:rsid w:val="00F93FD6"/>
    <w:rsid w:val="00F94F8A"/>
    <w:rsid w:val="00FA38DE"/>
    <w:rsid w:val="00FA413D"/>
    <w:rsid w:val="00FA626A"/>
    <w:rsid w:val="00FA695C"/>
    <w:rsid w:val="00FB5D4E"/>
    <w:rsid w:val="00FB66C6"/>
    <w:rsid w:val="00FB77B1"/>
    <w:rsid w:val="00FC0652"/>
    <w:rsid w:val="00FC0BE2"/>
    <w:rsid w:val="00FC258F"/>
    <w:rsid w:val="00FD1F8C"/>
    <w:rsid w:val="00FD30E6"/>
    <w:rsid w:val="00FE2C7D"/>
    <w:rsid w:val="00FE7FA2"/>
    <w:rsid w:val="00FF0AEC"/>
    <w:rsid w:val="00FF1776"/>
    <w:rsid w:val="2A11757A"/>
    <w:rsid w:val="387BF2C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FD879"/>
  <w15:docId w15:val="{18D65E50-93D6-446E-8B19-45C3C4EC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262F"/>
    <w:pPr>
      <w:spacing w:before="160" w:after="0"/>
    </w:pPr>
    <w:rPr>
      <w:color w:val="4A4A49"/>
    </w:rPr>
  </w:style>
  <w:style w:type="paragraph" w:styleId="Titolo1">
    <w:name w:val="heading 1"/>
    <w:basedOn w:val="Normale"/>
    <w:next w:val="Normale"/>
    <w:link w:val="Titolo1Carattere"/>
    <w:uiPriority w:val="9"/>
    <w:qFormat/>
    <w:rsid w:val="000A262F"/>
    <w:pPr>
      <w:keepNext/>
      <w:keepLines/>
      <w:spacing w:before="0" w:after="125" w:line="240" w:lineRule="auto"/>
      <w:outlineLvl w:val="0"/>
    </w:pPr>
    <w:rPr>
      <w:rFonts w:asciiTheme="majorHAnsi" w:eastAsiaTheme="majorEastAsia" w:hAnsiTheme="majorHAnsi" w:cstheme="majorBidi"/>
      <w:b/>
      <w:sz w:val="28"/>
      <w:szCs w:val="28"/>
    </w:rPr>
  </w:style>
  <w:style w:type="paragraph" w:styleId="Titolo2">
    <w:name w:val="heading 2"/>
    <w:basedOn w:val="Normale"/>
    <w:next w:val="Normale"/>
    <w:link w:val="Titolo2Carattere"/>
    <w:uiPriority w:val="9"/>
    <w:unhideWhenUsed/>
    <w:qFormat/>
    <w:rsid w:val="00D764A7"/>
    <w:pPr>
      <w:keepNext/>
      <w:keepLines/>
      <w:spacing w:before="0" w:after="125"/>
      <w:outlineLvl w:val="1"/>
    </w:pPr>
    <w:rPr>
      <w:rFonts w:asciiTheme="majorHAnsi" w:eastAsiaTheme="majorEastAsia" w:hAnsiTheme="majorHAnsi" w:cstheme="majorBidi"/>
      <w:color w:val="49494A"/>
      <w:szCs w:val="26"/>
      <w:u w:val="single"/>
    </w:rPr>
  </w:style>
  <w:style w:type="paragraph" w:styleId="Titolo3">
    <w:name w:val="heading 3"/>
    <w:basedOn w:val="Normale"/>
    <w:next w:val="Normale"/>
    <w:link w:val="Titolo3Carattere"/>
    <w:uiPriority w:val="9"/>
    <w:unhideWhenUsed/>
    <w:rsid w:val="005232BD"/>
    <w:pPr>
      <w:keepNext/>
      <w:keepLines/>
      <w:outlineLvl w:val="2"/>
    </w:pPr>
    <w:rPr>
      <w:rFonts w:asciiTheme="majorHAnsi" w:eastAsiaTheme="majorEastAsia" w:hAnsiTheme="majorHAnsi" w:cstheme="majorBidi"/>
      <w:b/>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F6567"/>
    <w:pPr>
      <w:tabs>
        <w:tab w:val="center" w:pos="4536"/>
        <w:tab w:val="right" w:pos="9072"/>
      </w:tabs>
      <w:spacing w:line="240" w:lineRule="auto"/>
    </w:pPr>
  </w:style>
  <w:style w:type="character" w:customStyle="1" w:styleId="IntestazioneCarattere">
    <w:name w:val="Intestazione Carattere"/>
    <w:basedOn w:val="Carpredefinitoparagrafo"/>
    <w:link w:val="Intestazione"/>
    <w:uiPriority w:val="99"/>
    <w:rsid w:val="00DF6567"/>
  </w:style>
  <w:style w:type="paragraph" w:styleId="Pidipagina">
    <w:name w:val="footer"/>
    <w:basedOn w:val="Normale"/>
    <w:link w:val="PidipaginaCarattere"/>
    <w:uiPriority w:val="99"/>
    <w:unhideWhenUsed/>
    <w:rsid w:val="00DF6567"/>
    <w:pPr>
      <w:tabs>
        <w:tab w:val="center" w:pos="4536"/>
        <w:tab w:val="right" w:pos="9072"/>
      </w:tabs>
      <w:spacing w:line="240" w:lineRule="auto"/>
    </w:pPr>
  </w:style>
  <w:style w:type="character" w:customStyle="1" w:styleId="PidipaginaCarattere">
    <w:name w:val="Piè di pagina Carattere"/>
    <w:basedOn w:val="Carpredefinitoparagrafo"/>
    <w:link w:val="Pidipagina"/>
    <w:uiPriority w:val="99"/>
    <w:rsid w:val="00DF6567"/>
  </w:style>
  <w:style w:type="character" w:customStyle="1" w:styleId="Titolo1Carattere">
    <w:name w:val="Titolo 1 Carattere"/>
    <w:basedOn w:val="Carpredefinitoparagrafo"/>
    <w:link w:val="Titolo1"/>
    <w:uiPriority w:val="9"/>
    <w:rsid w:val="000A262F"/>
    <w:rPr>
      <w:rFonts w:asciiTheme="majorHAnsi" w:eastAsiaTheme="majorEastAsia" w:hAnsiTheme="majorHAnsi" w:cstheme="majorBidi"/>
      <w:b/>
      <w:color w:val="4A4A49"/>
      <w:sz w:val="28"/>
      <w:szCs w:val="28"/>
    </w:rPr>
  </w:style>
  <w:style w:type="character" w:customStyle="1" w:styleId="Titolo2Carattere">
    <w:name w:val="Titolo 2 Carattere"/>
    <w:basedOn w:val="Carpredefinitoparagrafo"/>
    <w:link w:val="Titolo2"/>
    <w:uiPriority w:val="9"/>
    <w:rsid w:val="00D764A7"/>
    <w:rPr>
      <w:rFonts w:asciiTheme="majorHAnsi" w:eastAsiaTheme="majorEastAsia" w:hAnsiTheme="majorHAnsi" w:cstheme="majorBidi"/>
      <w:color w:val="49494A"/>
      <w:szCs w:val="26"/>
      <w:u w:val="single"/>
    </w:rPr>
  </w:style>
  <w:style w:type="character" w:customStyle="1" w:styleId="Titolo3Carattere">
    <w:name w:val="Titolo 3 Carattere"/>
    <w:basedOn w:val="Carpredefinitoparagrafo"/>
    <w:link w:val="Titolo3"/>
    <w:uiPriority w:val="9"/>
    <w:rsid w:val="005232BD"/>
    <w:rPr>
      <w:rFonts w:asciiTheme="majorHAnsi" w:eastAsiaTheme="majorEastAsia" w:hAnsiTheme="majorHAnsi" w:cstheme="majorBidi"/>
      <w:b/>
      <w:color w:val="878787" w:themeColor="accent1"/>
      <w:sz w:val="20"/>
      <w:szCs w:val="24"/>
    </w:rPr>
  </w:style>
  <w:style w:type="character" w:styleId="Collegamentoipertestuale">
    <w:name w:val="Hyperlink"/>
    <w:uiPriority w:val="99"/>
    <w:qFormat/>
    <w:rsid w:val="004A5DBD"/>
    <w:rPr>
      <w:rFonts w:asciiTheme="minorHAnsi" w:hAnsiTheme="minorHAnsi"/>
      <w:b w:val="0"/>
      <w:color w:val="00893D" w:themeColor="background2"/>
      <w:sz w:val="22"/>
      <w:lang w:val="en-US"/>
    </w:rPr>
  </w:style>
  <w:style w:type="table" w:styleId="Grigliatabella">
    <w:name w:val="Table Grid"/>
    <w:basedOn w:val="Tabellanormale"/>
    <w:uiPriority w:val="59"/>
    <w:rsid w:val="0010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rsid w:val="00731BC9"/>
    <w:pPr>
      <w:spacing w:after="0" w:line="240" w:lineRule="auto"/>
    </w:pPr>
    <w:rPr>
      <w:color w:val="878787" w:themeColor="accent1"/>
      <w:sz w:val="20"/>
    </w:rPr>
  </w:style>
  <w:style w:type="character" w:styleId="Enfasigrassetto">
    <w:name w:val="Strong"/>
    <w:basedOn w:val="Carpredefinitoparagrafo"/>
    <w:uiPriority w:val="22"/>
    <w:qFormat/>
    <w:rsid w:val="004A5DBD"/>
    <w:rPr>
      <w:rFonts w:asciiTheme="minorHAnsi" w:hAnsiTheme="minorHAnsi"/>
      <w:b/>
      <w:bCs/>
      <w:sz w:val="22"/>
    </w:rPr>
  </w:style>
  <w:style w:type="paragraph" w:customStyle="1" w:styleId="BU">
    <w:name w:val="BU"/>
    <w:basedOn w:val="Normale"/>
    <w:qFormat/>
    <w:rsid w:val="000A262F"/>
    <w:pPr>
      <w:spacing w:before="120"/>
    </w:pPr>
    <w:rPr>
      <w:noProof/>
      <w:sz w:val="20"/>
      <w:lang w:eastAsia="de-DE"/>
    </w:rPr>
  </w:style>
  <w:style w:type="paragraph" w:customStyle="1" w:styleId="BU-fett">
    <w:name w:val="BU - fett"/>
    <w:basedOn w:val="BU"/>
    <w:qFormat/>
    <w:rsid w:val="00AE4755"/>
    <w:rPr>
      <w:b/>
    </w:rPr>
  </w:style>
  <w:style w:type="paragraph" w:styleId="Paragrafoelenco">
    <w:name w:val="List Paragraph"/>
    <w:basedOn w:val="Normale"/>
    <w:uiPriority w:val="34"/>
    <w:qFormat/>
    <w:rsid w:val="000A262F"/>
    <w:pPr>
      <w:numPr>
        <w:numId w:val="6"/>
      </w:numPr>
      <w:spacing w:before="0" w:after="600"/>
      <w:ind w:left="227" w:hanging="227"/>
      <w:contextualSpacing/>
    </w:pPr>
    <w:rPr>
      <w:sz w:val="24"/>
    </w:rPr>
  </w:style>
  <w:style w:type="paragraph" w:styleId="Testofumetto">
    <w:name w:val="Balloon Text"/>
    <w:basedOn w:val="Normale"/>
    <w:link w:val="TestofumettoCarattere"/>
    <w:uiPriority w:val="99"/>
    <w:semiHidden/>
    <w:unhideWhenUsed/>
    <w:rsid w:val="004F752B"/>
    <w:pPr>
      <w:spacing w:before="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752B"/>
    <w:rPr>
      <w:rFonts w:ascii="Segoe UI" w:hAnsi="Segoe UI" w:cs="Segoe UI"/>
      <w:color w:val="878787" w:themeColor="accent1"/>
      <w:sz w:val="18"/>
      <w:szCs w:val="18"/>
    </w:rPr>
  </w:style>
  <w:style w:type="paragraph" w:customStyle="1" w:styleId="Teaser">
    <w:name w:val="Teaser"/>
    <w:basedOn w:val="Normale"/>
    <w:qFormat/>
    <w:rsid w:val="000A262F"/>
    <w:pPr>
      <w:spacing w:before="0" w:after="600"/>
    </w:pPr>
    <w:rPr>
      <w:noProof/>
      <w:sz w:val="24"/>
      <w:lang w:eastAsia="de-DE"/>
    </w:rPr>
  </w:style>
  <w:style w:type="character" w:styleId="Collegamentovisitato">
    <w:name w:val="FollowedHyperlink"/>
    <w:basedOn w:val="Carpredefinitoparagrafo"/>
    <w:uiPriority w:val="99"/>
    <w:semiHidden/>
    <w:unhideWhenUsed/>
    <w:qFormat/>
    <w:rsid w:val="00523C0B"/>
    <w:rPr>
      <w:color w:val="00893D" w:themeColor="followedHyperlink"/>
      <w:u w:val="none"/>
    </w:rPr>
  </w:style>
  <w:style w:type="character" w:customStyle="1" w:styleId="NichtaufgelsteErwhnung1">
    <w:name w:val="Nicht aufgelöste Erwähnung1"/>
    <w:basedOn w:val="Carpredefinitoparagrafo"/>
    <w:uiPriority w:val="99"/>
    <w:semiHidden/>
    <w:unhideWhenUsed/>
    <w:rsid w:val="00860C29"/>
    <w:rPr>
      <w:color w:val="605E5C"/>
      <w:shd w:val="clear" w:color="auto" w:fill="E1DFDD"/>
    </w:rPr>
  </w:style>
  <w:style w:type="paragraph" w:customStyle="1" w:styleId="Ansprechpartner">
    <w:name w:val="Ansprechpartner"/>
    <w:basedOn w:val="Normale"/>
    <w:qFormat/>
    <w:rsid w:val="00AD0056"/>
    <w:pPr>
      <w:spacing w:line="280" w:lineRule="exact"/>
    </w:pPr>
    <w:rPr>
      <w:sz w:val="20"/>
      <w:szCs w:val="20"/>
    </w:rPr>
  </w:style>
  <w:style w:type="paragraph" w:customStyle="1" w:styleId="Hinweis">
    <w:name w:val="Hinweis"/>
    <w:basedOn w:val="Titolo2"/>
    <w:qFormat/>
    <w:rsid w:val="000A262F"/>
    <w:pPr>
      <w:spacing w:after="0"/>
    </w:pPr>
    <w:rPr>
      <w:sz w:val="16"/>
      <w:u w:val="none"/>
    </w:rPr>
  </w:style>
  <w:style w:type="paragraph" w:customStyle="1" w:styleId="Hinweisfett">
    <w:name w:val="Hinweis fett"/>
    <w:basedOn w:val="Hinweis"/>
    <w:qFormat/>
    <w:rsid w:val="001D028C"/>
    <w:rPr>
      <w:b/>
    </w:rPr>
  </w:style>
  <w:style w:type="character" w:customStyle="1" w:styleId="NichtaufgelsteErwhnung2">
    <w:name w:val="Nicht aufgelöste Erwähnung2"/>
    <w:basedOn w:val="Carpredefinitoparagrafo"/>
    <w:uiPriority w:val="99"/>
    <w:semiHidden/>
    <w:unhideWhenUsed/>
    <w:rsid w:val="00DE5A3C"/>
    <w:rPr>
      <w:color w:val="605E5C"/>
      <w:shd w:val="clear" w:color="auto" w:fill="E1DFDD"/>
    </w:rPr>
  </w:style>
  <w:style w:type="paragraph" w:styleId="Testonotaapidipagina">
    <w:name w:val="footnote text"/>
    <w:basedOn w:val="Normale"/>
    <w:link w:val="TestonotaapidipaginaCarattere"/>
    <w:uiPriority w:val="99"/>
    <w:unhideWhenUsed/>
    <w:rsid w:val="00501E46"/>
    <w:pPr>
      <w:spacing w:before="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501E46"/>
    <w:rPr>
      <w:color w:val="4A4A49"/>
      <w:sz w:val="20"/>
      <w:szCs w:val="20"/>
    </w:rPr>
  </w:style>
  <w:style w:type="character" w:styleId="Rimandonotaapidipagina">
    <w:name w:val="footnote reference"/>
    <w:basedOn w:val="Carpredefinitoparagrafo"/>
    <w:uiPriority w:val="99"/>
    <w:semiHidden/>
    <w:unhideWhenUsed/>
    <w:rsid w:val="00501E46"/>
    <w:rPr>
      <w:vertAlign w:val="superscript"/>
    </w:rPr>
  </w:style>
  <w:style w:type="character" w:styleId="Rimandocommento">
    <w:name w:val="annotation reference"/>
    <w:basedOn w:val="Carpredefinitoparagrafo"/>
    <w:uiPriority w:val="99"/>
    <w:semiHidden/>
    <w:unhideWhenUsed/>
    <w:rsid w:val="00A67DFD"/>
    <w:rPr>
      <w:sz w:val="16"/>
      <w:szCs w:val="16"/>
    </w:rPr>
  </w:style>
  <w:style w:type="paragraph" w:styleId="Testocommento">
    <w:name w:val="annotation text"/>
    <w:basedOn w:val="Normale"/>
    <w:link w:val="TestocommentoCarattere"/>
    <w:uiPriority w:val="99"/>
    <w:unhideWhenUsed/>
    <w:rsid w:val="00A67DFD"/>
    <w:pPr>
      <w:spacing w:line="240" w:lineRule="auto"/>
    </w:pPr>
    <w:rPr>
      <w:sz w:val="20"/>
      <w:szCs w:val="20"/>
    </w:rPr>
  </w:style>
  <w:style w:type="character" w:customStyle="1" w:styleId="TestocommentoCarattere">
    <w:name w:val="Testo commento Carattere"/>
    <w:basedOn w:val="Carpredefinitoparagrafo"/>
    <w:link w:val="Testocommento"/>
    <w:uiPriority w:val="99"/>
    <w:rsid w:val="00A67DFD"/>
    <w:rPr>
      <w:color w:val="4A4A49"/>
      <w:sz w:val="20"/>
      <w:szCs w:val="20"/>
    </w:rPr>
  </w:style>
  <w:style w:type="paragraph" w:styleId="Soggettocommento">
    <w:name w:val="annotation subject"/>
    <w:basedOn w:val="Testocommento"/>
    <w:next w:val="Testocommento"/>
    <w:link w:val="SoggettocommentoCarattere"/>
    <w:uiPriority w:val="99"/>
    <w:semiHidden/>
    <w:unhideWhenUsed/>
    <w:rsid w:val="00A67DFD"/>
    <w:rPr>
      <w:b/>
      <w:bCs/>
    </w:rPr>
  </w:style>
  <w:style w:type="character" w:customStyle="1" w:styleId="SoggettocommentoCarattere">
    <w:name w:val="Soggetto commento Carattere"/>
    <w:basedOn w:val="TestocommentoCarattere"/>
    <w:link w:val="Soggettocommento"/>
    <w:uiPriority w:val="99"/>
    <w:semiHidden/>
    <w:rsid w:val="00A67DFD"/>
    <w:rPr>
      <w:b/>
      <w:bCs/>
      <w:color w:val="4A4A49"/>
      <w:sz w:val="20"/>
      <w:szCs w:val="20"/>
    </w:rPr>
  </w:style>
  <w:style w:type="paragraph" w:styleId="Revisione">
    <w:name w:val="Revision"/>
    <w:hidden/>
    <w:uiPriority w:val="99"/>
    <w:semiHidden/>
    <w:rsid w:val="00D00C35"/>
    <w:pPr>
      <w:spacing w:after="0" w:line="240" w:lineRule="auto"/>
    </w:pPr>
    <w:rPr>
      <w:color w:val="4A4A49"/>
    </w:rPr>
  </w:style>
  <w:style w:type="paragraph" w:styleId="NormaleWeb">
    <w:name w:val="Normal (Web)"/>
    <w:basedOn w:val="Normale"/>
    <w:uiPriority w:val="99"/>
    <w:semiHidden/>
    <w:unhideWhenUsed/>
    <w:rsid w:val="00542810"/>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character" w:customStyle="1" w:styleId="NichtaufgelsteErwhnung20">
    <w:name w:val="Nicht aufgelöste Erwähnung2"/>
    <w:basedOn w:val="Carpredefinitoparagrafo"/>
    <w:uiPriority w:val="99"/>
    <w:semiHidden/>
    <w:unhideWhenUsed/>
    <w:rsid w:val="00FA4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77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xel.luedeke@schaeffler.com" TargetMode="External"/><Relationship Id="rId18" Type="http://schemas.openxmlformats.org/officeDocument/2006/relationships/hyperlink" Target="http://www.linkedin.com/company/schaeffler" TargetMode="External"/><Relationship Id="rId26" Type="http://schemas.openxmlformats.org/officeDocument/2006/relationships/hyperlink" Target="https://www.youtube.com/user/SchaefflerGlobal"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chaeffler.com/" TargetMode="External"/><Relationship Id="rId20" Type="http://schemas.openxmlformats.org/officeDocument/2006/relationships/hyperlink" Target="https://twitter.com/schaefflergrou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instagram.com/schaefflergrou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atthias.herms@schaeffler.com" TargetMode="External"/><Relationship Id="rId23" Type="http://schemas.openxmlformats.org/officeDocument/2006/relationships/image" Target="media/image6.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iko.eber@schaeffler.com" TargetMode="External"/><Relationship Id="rId22" Type="http://schemas.openxmlformats.org/officeDocument/2006/relationships/hyperlink" Target="https://www.facebook.com/SchaefflerGroup" TargetMode="External"/><Relationship Id="rId27" Type="http://schemas.openxmlformats.org/officeDocument/2006/relationships/image" Target="media/image8.png"/><Relationship Id="rId30" Type="http://schemas.openxmlformats.org/officeDocument/2006/relationships/header" Target="head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emf"/></Relationships>
</file>

<file path=word/_rels/header2.xml.rels><?xml version="1.0" encoding="UTF-8" standalone="yes"?>
<Relationships xmlns="http://schemas.openxmlformats.org/package/2006/relationships"><Relationship Id="rId1" Type="http://schemas.openxmlformats.org/officeDocument/2006/relationships/image" Target="media/image9.emf"/></Relationships>
</file>

<file path=word/theme/theme1.xml><?xml version="1.0" encoding="utf-8"?>
<a:theme xmlns:a="http://schemas.openxmlformats.org/drawingml/2006/main" name="Larissa">
  <a:themeElements>
    <a:clrScheme name="Schaeffler_NL_colors">
      <a:dk1>
        <a:sysClr val="windowText" lastClr="000000"/>
      </a:dk1>
      <a:lt1>
        <a:sysClr val="window" lastClr="FFFFFF"/>
      </a:lt1>
      <a:dk2>
        <a:srgbClr val="C1CAC3"/>
      </a:dk2>
      <a:lt2>
        <a:srgbClr val="00893D"/>
      </a:lt2>
      <a:accent1>
        <a:srgbClr val="878787"/>
      </a:accent1>
      <a:accent2>
        <a:srgbClr val="DADADA"/>
      </a:accent2>
      <a:accent3>
        <a:srgbClr val="E61E35"/>
      </a:accent3>
      <a:accent4>
        <a:srgbClr val="78C7C9"/>
      </a:accent4>
      <a:accent5>
        <a:srgbClr val="E3E3E3"/>
      </a:accent5>
      <a:accent6>
        <a:srgbClr val="7D6866"/>
      </a:accent6>
      <a:hlink>
        <a:srgbClr val="00893D"/>
      </a:hlink>
      <a:folHlink>
        <a:srgbClr val="00893D"/>
      </a:folHlink>
    </a:clrScheme>
    <a:fontScheme name="Schaeffler_NL_fonts">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54b767-593a-45dd-9e7e-7950f3ca760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06170F1EC3AA48B77CCF8D58F498A6" ma:contentTypeVersion="11" ma:contentTypeDescription="Create a new document." ma:contentTypeScope="" ma:versionID="25cb713098c81075aaa055190bf726a2">
  <xsd:schema xmlns:xsd="http://www.w3.org/2001/XMLSchema" xmlns:xs="http://www.w3.org/2001/XMLSchema" xmlns:p="http://schemas.microsoft.com/office/2006/metadata/properties" xmlns:ns2="5854b767-593a-45dd-9e7e-7950f3ca7607" targetNamespace="http://schemas.microsoft.com/office/2006/metadata/properties" ma:root="true" ma:fieldsID="6da062671b8f8e337b87203c777f17c6" ns2:_="">
    <xsd:import namespace="5854b767-593a-45dd-9e7e-7950f3ca76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4b767-593a-45dd-9e7e-7950f3ca7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8119dd-1553-4246-8b00-64009d6514c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51F5E-D496-440D-A8DB-DC5C6F29C681}">
  <ds:schemaRefs>
    <ds:schemaRef ds:uri="http://schemas.openxmlformats.org/officeDocument/2006/bibliography"/>
  </ds:schemaRefs>
</ds:datastoreItem>
</file>

<file path=customXml/itemProps2.xml><?xml version="1.0" encoding="utf-8"?>
<ds:datastoreItem xmlns:ds="http://schemas.openxmlformats.org/officeDocument/2006/customXml" ds:itemID="{B0876EAF-B413-46C7-851B-7540470F6334}">
  <ds:schemaRefs>
    <ds:schemaRef ds:uri="http://schemas.microsoft.com/sharepoint/v3/contenttype/forms"/>
  </ds:schemaRefs>
</ds:datastoreItem>
</file>

<file path=customXml/itemProps3.xml><?xml version="1.0" encoding="utf-8"?>
<ds:datastoreItem xmlns:ds="http://schemas.openxmlformats.org/officeDocument/2006/customXml" ds:itemID="{15C1BE61-B6C3-44FC-84B0-616B702BBB81}">
  <ds:schemaRefs>
    <ds:schemaRef ds:uri="http://schemas.microsoft.com/office/2006/metadata/properties"/>
    <ds:schemaRef ds:uri="http://schemas.microsoft.com/office/infopath/2007/PartnerControls"/>
    <ds:schemaRef ds:uri="5854b767-593a-45dd-9e7e-7950f3ca7607"/>
  </ds:schemaRefs>
</ds:datastoreItem>
</file>

<file path=customXml/itemProps4.xml><?xml version="1.0" encoding="utf-8"?>
<ds:datastoreItem xmlns:ds="http://schemas.openxmlformats.org/officeDocument/2006/customXml" ds:itemID="{AD7D175D-1114-4031-894E-7AF10495E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4b767-593a-45dd-9e7e-7950f3ca7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3075</Words>
  <Characters>17532</Characters>
  <Application>Microsoft Office Word</Application>
  <DocSecurity>0</DocSecurity>
  <Lines>146</Lines>
  <Paragraphs>41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20566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Duerschner, Melanie  (ext.)  SZ/HZA-CMB</dc:creator>
  <cp:lastModifiedBy>Pezzolato, Riccardo  (ext.)  SWWIRM-M</cp:lastModifiedBy>
  <cp:revision>3</cp:revision>
  <cp:lastPrinted>2026-03-05T10:22:00Z</cp:lastPrinted>
  <dcterms:created xsi:type="dcterms:W3CDTF">2026-03-05T13:40:00Z</dcterms:created>
  <dcterms:modified xsi:type="dcterms:W3CDTF">2026-03-05T13:56:00Z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ContentTypeId">
    <vt:lpwstr>0x0101002706170F1EC3AA48B77CCF8D58F498A6</vt:lpwstr>
  </property>
  <property fmtid="{D5CDD505-2E9C-101B-9397-08002B2CF9AE}" pid="4" name="MediaServiceImageTags">
    <vt:lpwstr/>
  </property>
  <property fmtid="{D5CDD505-2E9C-101B-9397-08002B2CF9AE}" pid="5" name="_dlc_DocIdItemGuid">
    <vt:lpwstr>22a5b388-5f54-4d7c-b203-29ed255da846</vt:lpwstr>
  </property>
  <property fmtid="{D5CDD505-2E9C-101B-9397-08002B2CF9AE}" pid="6" name="MSIP_Label_bcfbc8fb-1e4e-4e6e-b34d-32d1589d0b9e_Enabled">
    <vt:lpwstr>true</vt:lpwstr>
  </property>
  <property fmtid="{D5CDD505-2E9C-101B-9397-08002B2CF9AE}" pid="7" name="MSIP_Label_bcfbc8fb-1e4e-4e6e-b34d-32d1589d0b9e_SetDate">
    <vt:lpwstr>2026-03-03T05:40:47Z</vt:lpwstr>
  </property>
  <property fmtid="{D5CDD505-2E9C-101B-9397-08002B2CF9AE}" pid="8" name="MSIP_Label_bcfbc8fb-1e4e-4e6e-b34d-32d1589d0b9e_Method">
    <vt:lpwstr>Privileged</vt:lpwstr>
  </property>
  <property fmtid="{D5CDD505-2E9C-101B-9397-08002B2CF9AE}" pid="9" name="MSIP_Label_bcfbc8fb-1e4e-4e6e-b34d-32d1589d0b9e_Name">
    <vt:lpwstr>No visual marking - Public</vt:lpwstr>
  </property>
  <property fmtid="{D5CDD505-2E9C-101B-9397-08002B2CF9AE}" pid="10" name="MSIP_Label_bcfbc8fb-1e4e-4e6e-b34d-32d1589d0b9e_SiteId">
    <vt:lpwstr>67416604-6509-4014-9859-45e709f53d3f</vt:lpwstr>
  </property>
  <property fmtid="{D5CDD505-2E9C-101B-9397-08002B2CF9AE}" pid="11" name="MSIP_Label_bcfbc8fb-1e4e-4e6e-b34d-32d1589d0b9e_ActionId">
    <vt:lpwstr>dcd9b276-e0c3-4f11-b593-2b00bfb9915c</vt:lpwstr>
  </property>
  <property fmtid="{D5CDD505-2E9C-101B-9397-08002B2CF9AE}" pid="12" name="MSIP_Label_bcfbc8fb-1e4e-4e6e-b34d-32d1589d0b9e_ContentBits">
    <vt:lpwstr>0</vt:lpwstr>
  </property>
  <property fmtid="{D5CDD505-2E9C-101B-9397-08002B2CF9AE}" pid="13" name="MSIP_Label_bcfbc8fb-1e4e-4e6e-b34d-32d1589d0b9e_Tag">
    <vt:lpwstr>10, 0, 1, 1</vt:lpwstr>
  </property>
  <property fmtid="{D5CDD505-2E9C-101B-9397-08002B2CF9AE}" pid="14" name="ClassificationContentMarkingFooterText">
    <vt:lpwstr>CONFIDENTIAL</vt:lpwstr>
  </property>
  <property fmtid="{D5CDD505-2E9C-101B-9397-08002B2CF9AE}" pid="15" name="MSIP_Label_be6dab6f-9aed-4732-8f86-280e4182250c_Name">
    <vt:lpwstr>be6dab6f-9aed-4732-8f86-280e4182250c</vt:lpwstr>
  </property>
  <property fmtid="{D5CDD505-2E9C-101B-9397-08002B2CF9AE}" pid="16" name="MSIP_Label_be6dab6f-9aed-4732-8f86-280e4182250c_Enabled">
    <vt:lpwstr>true</vt:lpwstr>
  </property>
  <property fmtid="{D5CDD505-2E9C-101B-9397-08002B2CF9AE}" pid="17" name="MSIP_Label_be6dab6f-9aed-4732-8f86-280e4182250c_SetDate">
    <vt:lpwstr>2026-02-11T11:15:53Z</vt:lpwstr>
  </property>
  <property fmtid="{D5CDD505-2E9C-101B-9397-08002B2CF9AE}" pid="18" name="MSIP_Label_be6dab6f-9aed-4732-8f86-280e4182250c_ContentBits">
    <vt:lpwstr>2</vt:lpwstr>
  </property>
  <property fmtid="{D5CDD505-2E9C-101B-9397-08002B2CF9AE}" pid="19" name="MSIP_Label_be6dab6f-9aed-4732-8f86-280e4182250c_SiteId">
    <vt:lpwstr>67416604-6509-4014-9859-45e709f53d3f</vt:lpwstr>
  </property>
  <property fmtid="{D5CDD505-2E9C-101B-9397-08002B2CF9AE}" pid="20" name="MSIP_Label_be6dab6f-9aed-4732-8f86-280e4182250c_Method">
    <vt:lpwstr>Privileged</vt:lpwstr>
  </property>
  <property fmtid="{D5CDD505-2E9C-101B-9397-08002B2CF9AE}" pid="21" name="MSIP_Label_be6dab6f-9aed-4732-8f86-280e4182250c_ActionId">
    <vt:lpwstr>290c8091-24fc-4800-abb6-5511b13d5c62</vt:lpwstr>
  </property>
  <property fmtid="{D5CDD505-2E9C-101B-9397-08002B2CF9AE}" pid="22" name="ClassificationContentMarkingFooterShapeIds">
    <vt:lpwstr>1ae87922,3301862c,b99ca1d</vt:lpwstr>
  </property>
  <property fmtid="{D5CDD505-2E9C-101B-9397-08002B2CF9AE}" pid="23" name="ClassificationContentMarkingFooterFontProps">
    <vt:lpwstr>#000000,8,Aptos</vt:lpwstr>
  </property>
  <property fmtid="{D5CDD505-2E9C-101B-9397-08002B2CF9AE}" pid="24" name="MSIP_Label_be6dab6f-9aed-4732-8f86-280e4182250c_Tag">
    <vt:lpwstr>50, 0, 1, 1</vt:lpwstr>
  </property>
</Properties>
</file>