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E69C" w14:textId="5B4E7E0E" w:rsidR="00467F19" w:rsidRDefault="00893680" w:rsidP="00467F19">
      <w:pPr>
        <w:spacing w:after="0" w:line="276" w:lineRule="auto"/>
        <w:jc w:val="center"/>
        <w:rPr>
          <w:rFonts w:ascii="Arial" w:hAnsi="Arial" w:cs="Arial"/>
          <w:b/>
          <w:bCs/>
          <w:color w:val="660000"/>
          <w:sz w:val="32"/>
          <w:szCs w:val="32"/>
          <w:shd w:val="clear" w:color="auto" w:fill="FFFFFF"/>
        </w:rPr>
      </w:pPr>
      <w:r w:rsidRPr="00893680">
        <w:rPr>
          <w:rFonts w:ascii="Arial" w:hAnsi="Arial" w:cs="Arial"/>
          <w:b/>
          <w:bCs/>
          <w:color w:val="660000"/>
          <w:sz w:val="32"/>
          <w:szCs w:val="32"/>
          <w:shd w:val="clear" w:color="auto" w:fill="FFFFFF"/>
        </w:rPr>
        <w:t>Casa e coppia, un progetto condiviso:</w:t>
      </w:r>
    </w:p>
    <w:p w14:paraId="2E572D70" w14:textId="2653DB1E" w:rsidR="00467F19" w:rsidRDefault="00893680" w:rsidP="00467F19">
      <w:pPr>
        <w:spacing w:after="0" w:line="276" w:lineRule="auto"/>
        <w:jc w:val="center"/>
        <w:rPr>
          <w:rFonts w:ascii="Arial" w:hAnsi="Arial" w:cs="Arial"/>
          <w:b/>
          <w:bCs/>
          <w:color w:val="660000"/>
          <w:sz w:val="32"/>
          <w:szCs w:val="32"/>
          <w:shd w:val="clear" w:color="auto" w:fill="FFFFFF"/>
        </w:rPr>
      </w:pPr>
      <w:r w:rsidRPr="00893680">
        <w:rPr>
          <w:rFonts w:ascii="Arial" w:hAnsi="Arial" w:cs="Arial"/>
          <w:b/>
          <w:bCs/>
          <w:color w:val="660000"/>
          <w:sz w:val="32"/>
          <w:szCs w:val="32"/>
          <w:shd w:val="clear" w:color="auto" w:fill="FFFFFF"/>
        </w:rPr>
        <w:t>per il 26% degli europei si compra solo in due.</w:t>
      </w:r>
    </w:p>
    <w:p w14:paraId="7638958F" w14:textId="5B0372C7" w:rsidR="00893680" w:rsidRDefault="00893680" w:rsidP="00467F19">
      <w:pPr>
        <w:spacing w:after="0" w:line="276" w:lineRule="auto"/>
        <w:jc w:val="center"/>
      </w:pPr>
      <w:r w:rsidRPr="00893680">
        <w:rPr>
          <w:rFonts w:ascii="Arial" w:hAnsi="Arial" w:cs="Arial"/>
          <w:b/>
          <w:bCs/>
          <w:color w:val="660000"/>
          <w:sz w:val="32"/>
          <w:szCs w:val="32"/>
          <w:shd w:val="clear" w:color="auto" w:fill="FFFFFF"/>
        </w:rPr>
        <w:t>In Italia è il sostegno familiare a fare la differenza.</w:t>
      </w:r>
    </w:p>
    <w:p w14:paraId="73CE9777" w14:textId="24DBFBB3" w:rsidR="00893680" w:rsidRPr="00467F19" w:rsidRDefault="00893680" w:rsidP="00467F19">
      <w:pPr>
        <w:spacing w:after="100" w:afterAutospacing="1" w:line="276" w:lineRule="auto"/>
        <w:jc w:val="both"/>
        <w:rPr>
          <w:sz w:val="24"/>
          <w:szCs w:val="24"/>
        </w:rPr>
      </w:pPr>
      <w:r w:rsidRPr="00467F19">
        <w:rPr>
          <w:rFonts w:ascii="Arial" w:hAnsi="Arial" w:cs="Arial"/>
          <w:b/>
          <w:bCs/>
          <w:i/>
          <w:iCs/>
          <w:color w:val="000E35"/>
          <w:shd w:val="clear" w:color="auto" w:fill="FFFFFF"/>
        </w:rPr>
        <w:t>La convinzione che acquistare casa sia possibile solo con un partner è particolarmente diffusa tra Generazione Z e Millennials, mentre il contributo dei parenti resta un elemento chiave per l’acquisto della prima casa.</w:t>
      </w:r>
      <w:r w:rsidR="00467F19" w:rsidRPr="00467F19">
        <w:rPr>
          <w:rFonts w:ascii="Arial" w:hAnsi="Arial" w:cs="Arial"/>
          <w:b/>
          <w:bCs/>
          <w:i/>
          <w:iCs/>
          <w:color w:val="000E35"/>
          <w:shd w:val="clear" w:color="auto" w:fill="FFFFFF"/>
        </w:rPr>
        <w:t xml:space="preserve"> </w:t>
      </w:r>
      <w:r w:rsidRPr="00467F19">
        <w:rPr>
          <w:rFonts w:ascii="Arial" w:hAnsi="Arial" w:cs="Arial"/>
          <w:b/>
          <w:bCs/>
          <w:i/>
          <w:iCs/>
          <w:color w:val="000E35"/>
          <w:shd w:val="clear" w:color="auto" w:fill="FFFFFF"/>
        </w:rPr>
        <w:t xml:space="preserve">Questo quanto emerge dal REMAX </w:t>
      </w:r>
      <w:proofErr w:type="spellStart"/>
      <w:r w:rsidRPr="00467F19">
        <w:rPr>
          <w:rFonts w:ascii="Arial" w:hAnsi="Arial" w:cs="Arial"/>
          <w:b/>
          <w:bCs/>
          <w:i/>
          <w:iCs/>
          <w:color w:val="000E35"/>
          <w:shd w:val="clear" w:color="auto" w:fill="FFFFFF"/>
        </w:rPr>
        <w:t>European</w:t>
      </w:r>
      <w:proofErr w:type="spellEnd"/>
      <w:r w:rsidRPr="00467F19">
        <w:rPr>
          <w:rFonts w:ascii="Arial" w:hAnsi="Arial" w:cs="Arial"/>
          <w:b/>
          <w:bCs/>
          <w:i/>
          <w:iCs/>
          <w:color w:val="000E35"/>
          <w:shd w:val="clear" w:color="auto" w:fill="FFFFFF"/>
        </w:rPr>
        <w:t xml:space="preserve"> Housing Trend Report</w:t>
      </w:r>
    </w:p>
    <w:p w14:paraId="657C3442" w14:textId="05219E29" w:rsidR="003C474D" w:rsidRPr="00D775C9" w:rsidRDefault="00A357AD" w:rsidP="003C474D">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2</w:t>
      </w:r>
      <w:r w:rsidR="00415F6D">
        <w:rPr>
          <w:rFonts w:ascii="Arial" w:hAnsi="Arial" w:cs="Arial"/>
          <w:kern w:val="0"/>
          <w:sz w:val="20"/>
          <w:szCs w:val="20"/>
          <w14:ligatures w14:val="none"/>
        </w:rPr>
        <w:t xml:space="preserve"> febbraio 2026</w:t>
      </w:r>
      <w:r w:rsidR="00586D7D" w:rsidRPr="00C63956">
        <w:rPr>
          <w:rFonts w:ascii="Arial" w:hAnsi="Arial" w:cs="Arial"/>
          <w:kern w:val="0"/>
          <w:sz w:val="20"/>
          <w:szCs w:val="20"/>
          <w14:ligatures w14:val="none"/>
        </w:rPr>
        <w:t xml:space="preserve"> </w:t>
      </w:r>
      <w:r w:rsidR="009D79D5">
        <w:rPr>
          <w:rFonts w:ascii="Arial" w:hAnsi="Arial" w:cs="Arial"/>
          <w:kern w:val="0"/>
          <w:sz w:val="20"/>
          <w:szCs w:val="20"/>
          <w14:ligatures w14:val="none"/>
        </w:rPr>
        <w:t>–</w:t>
      </w:r>
      <w:r w:rsidR="00586D7D" w:rsidRPr="00C63956">
        <w:rPr>
          <w:rFonts w:ascii="Arial" w:hAnsi="Arial" w:cs="Arial"/>
          <w:kern w:val="0"/>
          <w:sz w:val="20"/>
          <w:szCs w:val="20"/>
          <w14:ligatures w14:val="none"/>
        </w:rPr>
        <w:t xml:space="preserve"> </w:t>
      </w:r>
      <w:r w:rsidR="009D79D5">
        <w:rPr>
          <w:rFonts w:ascii="Arial" w:hAnsi="Arial" w:cs="Arial"/>
          <w:kern w:val="0"/>
          <w:sz w:val="20"/>
          <w:szCs w:val="20"/>
          <w14:ligatures w14:val="none"/>
        </w:rPr>
        <w:t>La vita di coppia si fonda su</w:t>
      </w:r>
      <w:r w:rsidR="003C474D" w:rsidRPr="003C474D">
        <w:rPr>
          <w:rFonts w:ascii="Arial" w:hAnsi="Arial" w:cs="Arial"/>
          <w:kern w:val="0"/>
          <w:sz w:val="20"/>
          <w:szCs w:val="20"/>
          <w14:ligatures w14:val="none"/>
        </w:rPr>
        <w:t xml:space="preserve"> promesse</w:t>
      </w:r>
      <w:r w:rsidR="009D79D5">
        <w:rPr>
          <w:rFonts w:ascii="Arial" w:hAnsi="Arial" w:cs="Arial"/>
          <w:kern w:val="0"/>
          <w:sz w:val="20"/>
          <w:szCs w:val="20"/>
          <w14:ligatures w14:val="none"/>
        </w:rPr>
        <w:t xml:space="preserve"> condivise</w:t>
      </w:r>
      <w:r w:rsidR="003C474D" w:rsidRPr="003C474D">
        <w:rPr>
          <w:rFonts w:ascii="Arial" w:hAnsi="Arial" w:cs="Arial"/>
          <w:kern w:val="0"/>
          <w:sz w:val="20"/>
          <w:szCs w:val="20"/>
          <w14:ligatures w14:val="none"/>
        </w:rPr>
        <w:t xml:space="preserve">, </w:t>
      </w:r>
      <w:r w:rsidR="009D79D5">
        <w:rPr>
          <w:rFonts w:ascii="Arial" w:hAnsi="Arial" w:cs="Arial"/>
          <w:kern w:val="0"/>
          <w:sz w:val="20"/>
          <w:szCs w:val="20"/>
          <w14:ligatures w14:val="none"/>
        </w:rPr>
        <w:t>progettualità future</w:t>
      </w:r>
      <w:r w:rsidR="003C474D" w:rsidRPr="003C474D">
        <w:rPr>
          <w:rFonts w:ascii="Arial" w:hAnsi="Arial" w:cs="Arial"/>
          <w:kern w:val="0"/>
          <w:sz w:val="20"/>
          <w:szCs w:val="20"/>
          <w14:ligatures w14:val="none"/>
        </w:rPr>
        <w:t xml:space="preserve"> e scelte fatte in due. Ma oggi, accanto ai sentimenti, l’amore sembra parlare anche un linguaggio molto concreto: quello della casa. </w:t>
      </w:r>
      <w:r w:rsidR="003C474D" w:rsidRPr="00687354">
        <w:rPr>
          <w:rFonts w:ascii="Arial" w:hAnsi="Arial" w:cs="Arial"/>
          <w:b/>
          <w:bCs/>
          <w:kern w:val="0"/>
          <w:sz w:val="20"/>
          <w:szCs w:val="20"/>
          <w14:ligatures w14:val="none"/>
        </w:rPr>
        <w:t>In tutta Europa</w:t>
      </w:r>
      <w:r w:rsidR="003C474D" w:rsidRPr="003C474D">
        <w:rPr>
          <w:rFonts w:ascii="Arial" w:hAnsi="Arial" w:cs="Arial"/>
          <w:kern w:val="0"/>
          <w:sz w:val="20"/>
          <w:szCs w:val="20"/>
          <w14:ligatures w14:val="none"/>
        </w:rPr>
        <w:t xml:space="preserve">, infatti, </w:t>
      </w:r>
      <w:r w:rsidR="003C474D" w:rsidRPr="00687354">
        <w:rPr>
          <w:rFonts w:ascii="Arial" w:hAnsi="Arial" w:cs="Arial"/>
          <w:b/>
          <w:bCs/>
          <w:kern w:val="0"/>
          <w:sz w:val="20"/>
          <w:szCs w:val="20"/>
          <w14:ligatures w14:val="none"/>
        </w:rPr>
        <w:t xml:space="preserve">la relazione di coppia sta assumendo un ruolo sempre più rilevante </w:t>
      </w:r>
      <w:r w:rsidR="009A1B1C" w:rsidRPr="00687354">
        <w:rPr>
          <w:rFonts w:ascii="Arial" w:hAnsi="Arial" w:cs="Arial"/>
          <w:b/>
          <w:bCs/>
          <w:kern w:val="0"/>
          <w:sz w:val="20"/>
          <w:szCs w:val="20"/>
          <w14:ligatures w14:val="none"/>
        </w:rPr>
        <w:t>nell</w:t>
      </w:r>
      <w:r w:rsidR="00B11211" w:rsidRPr="00687354">
        <w:rPr>
          <w:rFonts w:ascii="Arial" w:hAnsi="Arial" w:cs="Arial"/>
          <w:b/>
          <w:bCs/>
          <w:kern w:val="0"/>
          <w:sz w:val="20"/>
          <w:szCs w:val="20"/>
          <w14:ligatures w14:val="none"/>
        </w:rPr>
        <w:t>’acquisto di un’</w:t>
      </w:r>
      <w:r w:rsidR="003C474D" w:rsidRPr="00687354">
        <w:rPr>
          <w:rFonts w:ascii="Arial" w:hAnsi="Arial" w:cs="Arial"/>
          <w:b/>
          <w:bCs/>
          <w:kern w:val="0"/>
          <w:sz w:val="20"/>
          <w:szCs w:val="20"/>
          <w14:ligatures w14:val="none"/>
        </w:rPr>
        <w:t>abitazione</w:t>
      </w:r>
      <w:r w:rsidR="003C474D" w:rsidRPr="003C474D">
        <w:rPr>
          <w:rFonts w:ascii="Arial" w:hAnsi="Arial" w:cs="Arial"/>
          <w:kern w:val="0"/>
          <w:sz w:val="20"/>
          <w:szCs w:val="20"/>
          <w14:ligatures w14:val="none"/>
        </w:rPr>
        <w:t xml:space="preserve">, trasformando </w:t>
      </w:r>
      <w:r w:rsidR="00B11211">
        <w:rPr>
          <w:rFonts w:ascii="Arial" w:hAnsi="Arial" w:cs="Arial"/>
          <w:kern w:val="0"/>
          <w:sz w:val="20"/>
          <w:szCs w:val="20"/>
          <w14:ligatures w14:val="none"/>
        </w:rPr>
        <w:t>il nido d’amore</w:t>
      </w:r>
      <w:r w:rsidR="003C474D" w:rsidRPr="003C474D">
        <w:rPr>
          <w:rFonts w:ascii="Arial" w:hAnsi="Arial" w:cs="Arial"/>
          <w:kern w:val="0"/>
          <w:sz w:val="20"/>
          <w:szCs w:val="20"/>
          <w14:ligatures w14:val="none"/>
        </w:rPr>
        <w:t xml:space="preserve"> in una tappa non solo simbolica, ma anche pratica.</w:t>
      </w:r>
      <w:r w:rsidR="00EE2BBB">
        <w:rPr>
          <w:rFonts w:ascii="Arial" w:hAnsi="Arial" w:cs="Arial"/>
          <w:kern w:val="0"/>
          <w:sz w:val="20"/>
          <w:szCs w:val="20"/>
          <w14:ligatures w14:val="none"/>
        </w:rPr>
        <w:t xml:space="preserve"> </w:t>
      </w:r>
      <w:r w:rsidR="003C474D" w:rsidRPr="003C474D">
        <w:rPr>
          <w:rFonts w:ascii="Arial" w:hAnsi="Arial" w:cs="Arial"/>
          <w:kern w:val="0"/>
          <w:sz w:val="20"/>
          <w:szCs w:val="20"/>
          <w14:ligatures w14:val="none"/>
        </w:rPr>
        <w:t xml:space="preserve">A raccontarlo sono i dati del </w:t>
      </w:r>
      <w:r w:rsidR="003C474D" w:rsidRPr="003C474D">
        <w:rPr>
          <w:rFonts w:ascii="Arial" w:hAnsi="Arial" w:cs="Arial"/>
          <w:b/>
          <w:bCs/>
          <w:kern w:val="0"/>
          <w:sz w:val="20"/>
          <w:szCs w:val="20"/>
          <w14:ligatures w14:val="none"/>
        </w:rPr>
        <w:t xml:space="preserve">REMAX </w:t>
      </w:r>
      <w:proofErr w:type="spellStart"/>
      <w:r w:rsidR="003C474D" w:rsidRPr="003C474D">
        <w:rPr>
          <w:rFonts w:ascii="Arial" w:hAnsi="Arial" w:cs="Arial"/>
          <w:b/>
          <w:bCs/>
          <w:kern w:val="0"/>
          <w:sz w:val="20"/>
          <w:szCs w:val="20"/>
          <w14:ligatures w14:val="none"/>
        </w:rPr>
        <w:t>European</w:t>
      </w:r>
      <w:proofErr w:type="spellEnd"/>
      <w:r w:rsidR="003C474D" w:rsidRPr="003C474D">
        <w:rPr>
          <w:rFonts w:ascii="Arial" w:hAnsi="Arial" w:cs="Arial"/>
          <w:b/>
          <w:bCs/>
          <w:kern w:val="0"/>
          <w:sz w:val="20"/>
          <w:szCs w:val="20"/>
          <w14:ligatures w14:val="none"/>
        </w:rPr>
        <w:t xml:space="preserve"> Housing Trend Report 2025</w:t>
      </w:r>
      <w:r w:rsidR="003C474D" w:rsidRPr="003C474D">
        <w:rPr>
          <w:rFonts w:ascii="Arial" w:hAnsi="Arial" w:cs="Arial"/>
          <w:kern w:val="0"/>
          <w:sz w:val="20"/>
          <w:szCs w:val="20"/>
          <w14:ligatures w14:val="none"/>
        </w:rPr>
        <w:t>, che analizza come le dinamiche</w:t>
      </w:r>
      <w:r w:rsidR="00EE2BBB" w:rsidRPr="003C474D">
        <w:rPr>
          <w:rFonts w:ascii="Arial" w:hAnsi="Arial" w:cs="Arial"/>
          <w:kern w:val="0"/>
          <w:sz w:val="20"/>
          <w:szCs w:val="20"/>
          <w14:ligatures w14:val="none"/>
        </w:rPr>
        <w:t xml:space="preserve"> familiari</w:t>
      </w:r>
      <w:r w:rsidR="00EE2BBB">
        <w:rPr>
          <w:rFonts w:ascii="Arial" w:hAnsi="Arial" w:cs="Arial"/>
          <w:kern w:val="0"/>
          <w:sz w:val="20"/>
          <w:szCs w:val="20"/>
          <w14:ligatures w14:val="none"/>
        </w:rPr>
        <w:t>,</w:t>
      </w:r>
      <w:r w:rsidR="003C474D" w:rsidRPr="003C474D">
        <w:rPr>
          <w:rFonts w:ascii="Arial" w:hAnsi="Arial" w:cs="Arial"/>
          <w:kern w:val="0"/>
          <w:sz w:val="20"/>
          <w:szCs w:val="20"/>
          <w14:ligatures w14:val="none"/>
        </w:rPr>
        <w:t xml:space="preserve"> finanziarie e legate allo stile di vita stiano ridefinendo il modo di abitare nel continente. </w:t>
      </w:r>
      <w:r w:rsidR="003C474D" w:rsidRPr="00D775C9">
        <w:rPr>
          <w:rFonts w:ascii="Arial" w:hAnsi="Arial" w:cs="Arial"/>
          <w:b/>
          <w:bCs/>
          <w:kern w:val="0"/>
          <w:sz w:val="20"/>
          <w:szCs w:val="20"/>
          <w14:ligatures w14:val="none"/>
        </w:rPr>
        <w:t>Oltre un quarto degli europei (26%) ritiene che acquistare una casa sia possibile solo con un partner</w:t>
      </w:r>
      <w:r w:rsidR="003C474D" w:rsidRPr="00D775C9">
        <w:rPr>
          <w:rFonts w:ascii="Arial" w:hAnsi="Arial" w:cs="Arial"/>
          <w:kern w:val="0"/>
          <w:sz w:val="20"/>
          <w:szCs w:val="20"/>
          <w14:ligatures w14:val="none"/>
        </w:rPr>
        <w:t xml:space="preserve">, segno di come il progetto abitativo venga sempre più spesso percepito come una costruzione condivisa. </w:t>
      </w:r>
      <w:r w:rsidR="003D600D" w:rsidRPr="00D775C9">
        <w:rPr>
          <w:rFonts w:ascii="Arial" w:hAnsi="Arial" w:cs="Arial"/>
          <w:b/>
          <w:bCs/>
          <w:kern w:val="0"/>
          <w:sz w:val="20"/>
          <w:szCs w:val="20"/>
          <w14:ligatures w14:val="none"/>
        </w:rPr>
        <w:t>Una convinzione particolarmente diffusa tra le nuove generazioni</w:t>
      </w:r>
      <w:r w:rsidR="003D600D" w:rsidRPr="00D775C9">
        <w:rPr>
          <w:rFonts w:ascii="Arial" w:hAnsi="Arial" w:cs="Arial"/>
          <w:kern w:val="0"/>
          <w:sz w:val="20"/>
          <w:szCs w:val="20"/>
          <w14:ligatures w14:val="none"/>
        </w:rPr>
        <w:t xml:space="preserve">: il 35% della Generazione Z e il 25% dei Millennials ritiene che potrà comprare casa solo vivendo in coppia. </w:t>
      </w:r>
      <w:r w:rsidR="000803D1" w:rsidRPr="00D775C9">
        <w:rPr>
          <w:rFonts w:ascii="Arial" w:hAnsi="Arial" w:cs="Arial"/>
          <w:kern w:val="0"/>
          <w:sz w:val="20"/>
          <w:szCs w:val="20"/>
          <w14:ligatures w14:val="none"/>
        </w:rPr>
        <w:t xml:space="preserve">Un dato che </w:t>
      </w:r>
      <w:r w:rsidR="003C474D" w:rsidRPr="00D775C9">
        <w:rPr>
          <w:rFonts w:ascii="Arial" w:hAnsi="Arial" w:cs="Arial"/>
          <w:kern w:val="0"/>
          <w:sz w:val="20"/>
          <w:szCs w:val="20"/>
          <w14:ligatures w14:val="none"/>
        </w:rPr>
        <w:t xml:space="preserve">trova riscontro anche nella realtà: </w:t>
      </w:r>
      <w:r w:rsidR="00AF547E" w:rsidRPr="00D775C9">
        <w:rPr>
          <w:rFonts w:ascii="Arial" w:hAnsi="Arial" w:cs="Arial"/>
          <w:kern w:val="0"/>
          <w:sz w:val="20"/>
          <w:szCs w:val="20"/>
          <w14:ligatures w14:val="none"/>
        </w:rPr>
        <w:t xml:space="preserve">in Europa </w:t>
      </w:r>
      <w:r w:rsidR="003625DE" w:rsidRPr="00D775C9">
        <w:rPr>
          <w:rFonts w:ascii="Arial" w:hAnsi="Arial" w:cs="Arial"/>
          <w:kern w:val="0"/>
          <w:sz w:val="20"/>
          <w:szCs w:val="20"/>
          <w14:ligatures w14:val="none"/>
        </w:rPr>
        <w:t xml:space="preserve">solo </w:t>
      </w:r>
      <w:r w:rsidR="003C474D" w:rsidRPr="00D775C9">
        <w:rPr>
          <w:rFonts w:ascii="Arial" w:hAnsi="Arial" w:cs="Arial"/>
          <w:kern w:val="0"/>
          <w:sz w:val="20"/>
          <w:szCs w:val="20"/>
          <w14:ligatures w14:val="none"/>
        </w:rPr>
        <w:t xml:space="preserve">meno della metà </w:t>
      </w:r>
      <w:r w:rsidR="002813C4" w:rsidRPr="00D775C9">
        <w:rPr>
          <w:rFonts w:ascii="Arial" w:hAnsi="Arial" w:cs="Arial"/>
          <w:kern w:val="0"/>
          <w:sz w:val="20"/>
          <w:szCs w:val="20"/>
          <w14:ligatures w14:val="none"/>
        </w:rPr>
        <w:t>dei single</w:t>
      </w:r>
      <w:r w:rsidR="003C474D" w:rsidRPr="00D775C9">
        <w:rPr>
          <w:rFonts w:ascii="Arial" w:hAnsi="Arial" w:cs="Arial"/>
          <w:kern w:val="0"/>
          <w:sz w:val="20"/>
          <w:szCs w:val="20"/>
          <w14:ligatures w14:val="none"/>
        </w:rPr>
        <w:t xml:space="preserve"> (49%) è proprietaria della propria abitazione, contro il 72% di chi vive </w:t>
      </w:r>
      <w:r w:rsidR="008E5880" w:rsidRPr="00D775C9">
        <w:rPr>
          <w:rFonts w:ascii="Arial" w:hAnsi="Arial" w:cs="Arial"/>
          <w:kern w:val="0"/>
          <w:sz w:val="20"/>
          <w:szCs w:val="20"/>
          <w14:ligatures w14:val="none"/>
        </w:rPr>
        <w:t>convive</w:t>
      </w:r>
      <w:r w:rsidR="003C474D" w:rsidRPr="00D775C9">
        <w:rPr>
          <w:rFonts w:ascii="Arial" w:hAnsi="Arial" w:cs="Arial"/>
          <w:kern w:val="0"/>
          <w:sz w:val="20"/>
          <w:szCs w:val="20"/>
          <w14:ligatures w14:val="none"/>
        </w:rPr>
        <w:t>.</w:t>
      </w:r>
    </w:p>
    <w:p w14:paraId="5AC7474F" w14:textId="77777777" w:rsidR="003C474D" w:rsidRPr="00D775C9" w:rsidRDefault="003C474D" w:rsidP="003C474D">
      <w:pPr>
        <w:spacing w:after="0" w:line="276" w:lineRule="auto"/>
        <w:jc w:val="both"/>
        <w:rPr>
          <w:rFonts w:ascii="Arial" w:hAnsi="Arial" w:cs="Arial"/>
          <w:kern w:val="0"/>
          <w:sz w:val="20"/>
          <w:szCs w:val="20"/>
          <w14:ligatures w14:val="none"/>
        </w:rPr>
      </w:pPr>
    </w:p>
    <w:p w14:paraId="68EDB0E0" w14:textId="3E0784CB" w:rsidR="003C474D" w:rsidRPr="00D775C9" w:rsidRDefault="003C474D" w:rsidP="003C474D">
      <w:pPr>
        <w:spacing w:after="0" w:line="276" w:lineRule="auto"/>
        <w:jc w:val="both"/>
        <w:rPr>
          <w:rFonts w:ascii="Arial" w:hAnsi="Arial" w:cs="Arial"/>
          <w:kern w:val="0"/>
          <w:sz w:val="20"/>
          <w:szCs w:val="20"/>
          <w14:ligatures w14:val="none"/>
        </w:rPr>
      </w:pPr>
      <w:r w:rsidRPr="00D775C9">
        <w:rPr>
          <w:rFonts w:ascii="Arial" w:hAnsi="Arial" w:cs="Arial"/>
          <w:b/>
          <w:bCs/>
          <w:kern w:val="0"/>
          <w:sz w:val="20"/>
          <w:szCs w:val="20"/>
          <w14:ligatures w14:val="none"/>
        </w:rPr>
        <w:t>La casa entra così nelle dinamiche della relazione</w:t>
      </w:r>
      <w:r w:rsidRPr="00D775C9">
        <w:rPr>
          <w:rFonts w:ascii="Arial" w:hAnsi="Arial" w:cs="Arial"/>
          <w:kern w:val="0"/>
          <w:sz w:val="20"/>
          <w:szCs w:val="20"/>
          <w14:ligatures w14:val="none"/>
        </w:rPr>
        <w:t xml:space="preserve"> non come semplice conseguenza, ma </w:t>
      </w:r>
      <w:r w:rsidRPr="00D775C9">
        <w:rPr>
          <w:rFonts w:ascii="Arial" w:hAnsi="Arial" w:cs="Arial"/>
          <w:b/>
          <w:bCs/>
          <w:kern w:val="0"/>
          <w:sz w:val="20"/>
          <w:szCs w:val="20"/>
          <w14:ligatures w14:val="none"/>
        </w:rPr>
        <w:t>come parte integrante del progetto di coppia</w:t>
      </w:r>
      <w:r w:rsidRPr="00D775C9">
        <w:rPr>
          <w:rFonts w:ascii="Arial" w:hAnsi="Arial" w:cs="Arial"/>
          <w:kern w:val="0"/>
          <w:sz w:val="20"/>
          <w:szCs w:val="20"/>
          <w14:ligatures w14:val="none"/>
        </w:rPr>
        <w:t xml:space="preserve">. Non sorprende, quindi, che </w:t>
      </w:r>
      <w:r w:rsidRPr="00D775C9">
        <w:rPr>
          <w:rFonts w:ascii="Arial" w:hAnsi="Arial" w:cs="Arial"/>
          <w:b/>
          <w:bCs/>
          <w:kern w:val="0"/>
          <w:sz w:val="20"/>
          <w:szCs w:val="20"/>
          <w14:ligatures w14:val="none"/>
        </w:rPr>
        <w:t xml:space="preserve">i tempi </w:t>
      </w:r>
      <w:r w:rsidR="00CA15A5">
        <w:rPr>
          <w:rFonts w:ascii="Arial" w:hAnsi="Arial" w:cs="Arial"/>
          <w:b/>
          <w:bCs/>
          <w:kern w:val="0"/>
          <w:sz w:val="20"/>
          <w:szCs w:val="20"/>
          <w14:ligatures w14:val="none"/>
        </w:rPr>
        <w:t xml:space="preserve">che portano alla </w:t>
      </w:r>
      <w:r w:rsidRPr="00D775C9">
        <w:rPr>
          <w:rFonts w:ascii="Arial" w:hAnsi="Arial" w:cs="Arial"/>
          <w:b/>
          <w:bCs/>
          <w:kern w:val="0"/>
          <w:sz w:val="20"/>
          <w:szCs w:val="20"/>
          <w14:ligatures w14:val="none"/>
        </w:rPr>
        <w:t>convivenza si stiano accorciando</w:t>
      </w:r>
      <w:r w:rsidRPr="00D775C9">
        <w:rPr>
          <w:rFonts w:ascii="Arial" w:hAnsi="Arial" w:cs="Arial"/>
          <w:kern w:val="0"/>
          <w:sz w:val="20"/>
          <w:szCs w:val="20"/>
          <w14:ligatures w14:val="none"/>
        </w:rPr>
        <w:t xml:space="preserve">. </w:t>
      </w:r>
      <w:r w:rsidR="00680CD5">
        <w:rPr>
          <w:rFonts w:ascii="Arial" w:hAnsi="Arial" w:cs="Arial"/>
          <w:kern w:val="0"/>
          <w:sz w:val="20"/>
          <w:szCs w:val="20"/>
          <w14:ligatures w14:val="none"/>
        </w:rPr>
        <w:t>Secondo i dati elaborati da REMAX, i</w:t>
      </w:r>
      <w:r w:rsidRPr="00D775C9">
        <w:rPr>
          <w:rFonts w:ascii="Arial" w:hAnsi="Arial" w:cs="Arial"/>
          <w:kern w:val="0"/>
          <w:sz w:val="20"/>
          <w:szCs w:val="20"/>
          <w14:ligatures w14:val="none"/>
        </w:rPr>
        <w:t xml:space="preserve">n Europa, una coppia su quattro (26%) va a </w:t>
      </w:r>
      <w:r w:rsidR="00174C93" w:rsidRPr="00D775C9">
        <w:rPr>
          <w:rFonts w:ascii="Arial" w:hAnsi="Arial" w:cs="Arial"/>
          <w:kern w:val="0"/>
          <w:sz w:val="20"/>
          <w:szCs w:val="20"/>
          <w14:ligatures w14:val="none"/>
        </w:rPr>
        <w:t>con</w:t>
      </w:r>
      <w:r w:rsidRPr="00D775C9">
        <w:rPr>
          <w:rFonts w:ascii="Arial" w:hAnsi="Arial" w:cs="Arial"/>
          <w:kern w:val="0"/>
          <w:sz w:val="20"/>
          <w:szCs w:val="20"/>
          <w14:ligatures w14:val="none"/>
        </w:rPr>
        <w:t xml:space="preserve">vivere entro il primo anno dall’inizio della relazione, mentre il 13% compie questo passo entro i primi sei mesi. Una tendenza particolarmente evidente tra i più giovani: la Generazione Z inizia la convivenza in media dopo 2,7 anni, prima dei Millennials (3,2 anni). </w:t>
      </w:r>
      <w:r w:rsidR="00C1568F" w:rsidRPr="00D775C9">
        <w:rPr>
          <w:rFonts w:ascii="Arial" w:hAnsi="Arial" w:cs="Arial"/>
          <w:kern w:val="0"/>
          <w:sz w:val="20"/>
          <w:szCs w:val="20"/>
          <w14:ligatures w14:val="none"/>
        </w:rPr>
        <w:t>Si confermano anche l</w:t>
      </w:r>
      <w:r w:rsidRPr="00D775C9">
        <w:rPr>
          <w:rFonts w:ascii="Arial" w:hAnsi="Arial" w:cs="Arial"/>
          <w:kern w:val="0"/>
          <w:sz w:val="20"/>
          <w:szCs w:val="20"/>
          <w14:ligatures w14:val="none"/>
        </w:rPr>
        <w:t xml:space="preserve">e differenze culturali </w:t>
      </w:r>
      <w:r w:rsidR="00C1568F" w:rsidRPr="00D775C9">
        <w:rPr>
          <w:rFonts w:ascii="Arial" w:hAnsi="Arial" w:cs="Arial"/>
          <w:kern w:val="0"/>
          <w:sz w:val="20"/>
          <w:szCs w:val="20"/>
          <w14:ligatures w14:val="none"/>
        </w:rPr>
        <w:t>tra Paese e Paese</w:t>
      </w:r>
      <w:r w:rsidRPr="00D775C9">
        <w:rPr>
          <w:rFonts w:ascii="Arial" w:hAnsi="Arial" w:cs="Arial"/>
          <w:kern w:val="0"/>
          <w:sz w:val="20"/>
          <w:szCs w:val="20"/>
          <w14:ligatures w14:val="none"/>
        </w:rPr>
        <w:t xml:space="preserve">, con </w:t>
      </w:r>
      <w:r w:rsidRPr="00D775C9">
        <w:rPr>
          <w:rFonts w:ascii="Arial" w:hAnsi="Arial" w:cs="Arial"/>
          <w:b/>
          <w:bCs/>
          <w:kern w:val="0"/>
          <w:sz w:val="20"/>
          <w:szCs w:val="20"/>
          <w14:ligatures w14:val="none"/>
        </w:rPr>
        <w:t>il Regno Unito che registra i tempi più rapidi e la Francia quelli più lunghi</w:t>
      </w:r>
      <w:r w:rsidR="00F028FF" w:rsidRPr="00D775C9">
        <w:rPr>
          <w:rFonts w:ascii="Arial" w:hAnsi="Arial" w:cs="Arial"/>
          <w:kern w:val="0"/>
          <w:sz w:val="20"/>
          <w:szCs w:val="20"/>
          <w14:ligatures w14:val="none"/>
        </w:rPr>
        <w:t>.</w:t>
      </w:r>
      <w:r w:rsidRPr="00D775C9">
        <w:rPr>
          <w:rFonts w:ascii="Arial" w:hAnsi="Arial" w:cs="Arial"/>
          <w:kern w:val="0"/>
          <w:sz w:val="20"/>
          <w:szCs w:val="20"/>
          <w14:ligatures w14:val="none"/>
        </w:rPr>
        <w:t xml:space="preserve"> </w:t>
      </w:r>
      <w:r w:rsidR="00F028FF" w:rsidRPr="00D775C9">
        <w:rPr>
          <w:rFonts w:ascii="Arial" w:hAnsi="Arial" w:cs="Arial"/>
          <w:kern w:val="0"/>
          <w:sz w:val="20"/>
          <w:szCs w:val="20"/>
          <w14:ligatures w14:val="none"/>
        </w:rPr>
        <w:t>M</w:t>
      </w:r>
      <w:r w:rsidRPr="00D775C9">
        <w:rPr>
          <w:rFonts w:ascii="Arial" w:hAnsi="Arial" w:cs="Arial"/>
          <w:kern w:val="0"/>
          <w:sz w:val="20"/>
          <w:szCs w:val="20"/>
          <w14:ligatures w14:val="none"/>
        </w:rPr>
        <w:t>a il trend complessivo racconta una maggiore rapidità nel trasformare la relazione in un</w:t>
      </w:r>
      <w:r w:rsidR="00C57459" w:rsidRPr="00D775C9">
        <w:rPr>
          <w:rFonts w:ascii="Arial" w:hAnsi="Arial" w:cs="Arial"/>
          <w:kern w:val="0"/>
          <w:sz w:val="20"/>
          <w:szCs w:val="20"/>
          <w14:ligatures w14:val="none"/>
        </w:rPr>
        <w:t>o spazio condiviso</w:t>
      </w:r>
      <w:r w:rsidRPr="00D775C9">
        <w:rPr>
          <w:rFonts w:ascii="Arial" w:hAnsi="Arial" w:cs="Arial"/>
          <w:kern w:val="0"/>
          <w:sz w:val="20"/>
          <w:szCs w:val="20"/>
          <w14:ligatures w14:val="none"/>
        </w:rPr>
        <w:t>.</w:t>
      </w:r>
    </w:p>
    <w:p w14:paraId="7DDE7A7F" w14:textId="77777777" w:rsidR="003C474D" w:rsidRPr="00D775C9" w:rsidRDefault="003C474D" w:rsidP="003C474D">
      <w:pPr>
        <w:spacing w:after="0" w:line="276" w:lineRule="auto"/>
        <w:jc w:val="both"/>
        <w:rPr>
          <w:rFonts w:ascii="Arial" w:hAnsi="Arial" w:cs="Arial"/>
          <w:kern w:val="0"/>
          <w:sz w:val="20"/>
          <w:szCs w:val="20"/>
          <w14:ligatures w14:val="none"/>
        </w:rPr>
      </w:pPr>
    </w:p>
    <w:p w14:paraId="265F990C" w14:textId="77777777" w:rsidR="000E716E" w:rsidRPr="00D775C9" w:rsidRDefault="000E716E" w:rsidP="003C474D">
      <w:pPr>
        <w:spacing w:after="0" w:line="276" w:lineRule="auto"/>
        <w:jc w:val="both"/>
        <w:rPr>
          <w:rFonts w:ascii="Arial" w:hAnsi="Arial" w:cs="Arial"/>
          <w:b/>
          <w:bCs/>
          <w:smallCaps/>
          <w:kern w:val="0"/>
          <w:sz w:val="20"/>
          <w:szCs w:val="20"/>
          <w14:ligatures w14:val="none"/>
        </w:rPr>
      </w:pPr>
      <w:r w:rsidRPr="00D775C9">
        <w:rPr>
          <w:rFonts w:ascii="Arial" w:hAnsi="Arial" w:cs="Arial"/>
          <w:b/>
          <w:bCs/>
          <w:smallCaps/>
          <w:kern w:val="0"/>
          <w:sz w:val="20"/>
          <w:szCs w:val="20"/>
          <w14:ligatures w14:val="none"/>
        </w:rPr>
        <w:t>Il ruolo della famiglia nel progetto casa</w:t>
      </w:r>
    </w:p>
    <w:p w14:paraId="01A7669B" w14:textId="2DC62AAA" w:rsidR="003C474D" w:rsidRPr="00D775C9" w:rsidRDefault="003C474D" w:rsidP="003C474D">
      <w:pPr>
        <w:spacing w:after="0" w:line="276" w:lineRule="auto"/>
        <w:jc w:val="both"/>
        <w:rPr>
          <w:rFonts w:ascii="Arial" w:hAnsi="Arial" w:cs="Arial"/>
          <w:kern w:val="0"/>
          <w:sz w:val="20"/>
          <w:szCs w:val="20"/>
          <w14:ligatures w14:val="none"/>
        </w:rPr>
      </w:pPr>
      <w:r w:rsidRPr="00D775C9">
        <w:rPr>
          <w:rFonts w:ascii="Arial" w:hAnsi="Arial" w:cs="Arial"/>
          <w:b/>
          <w:bCs/>
          <w:kern w:val="0"/>
          <w:sz w:val="20"/>
          <w:szCs w:val="20"/>
          <w14:ligatures w14:val="none"/>
        </w:rPr>
        <w:t>Accanto alla coppia, resta centrale anche il ruolo della famiglia</w:t>
      </w:r>
      <w:r w:rsidRPr="00D775C9">
        <w:rPr>
          <w:rFonts w:ascii="Arial" w:hAnsi="Arial" w:cs="Arial"/>
          <w:kern w:val="0"/>
          <w:sz w:val="20"/>
          <w:szCs w:val="20"/>
          <w14:ligatures w14:val="none"/>
        </w:rPr>
        <w:t>. In un contesto in cui servono in media 7,3 anni per accumulare il capitale necessario all’acquisto della prima casa, il sostegno dei parenti continua a rappresentare un elemento chiave. Oltre un quarto degli europei (26%) ha potuto contare su una donazione in denaro per acquistare casa e, tra chi ha già comprato, quasi sei su dieci (59%) indicano un contributo familiare al primo acquisto.</w:t>
      </w:r>
    </w:p>
    <w:p w14:paraId="5161A547" w14:textId="77777777" w:rsidR="003C474D" w:rsidRPr="00D775C9" w:rsidRDefault="003C474D" w:rsidP="003C474D">
      <w:pPr>
        <w:spacing w:after="0" w:line="276" w:lineRule="auto"/>
        <w:jc w:val="both"/>
        <w:rPr>
          <w:rFonts w:ascii="Arial" w:hAnsi="Arial" w:cs="Arial"/>
          <w:kern w:val="0"/>
          <w:sz w:val="20"/>
          <w:szCs w:val="20"/>
          <w14:ligatures w14:val="none"/>
        </w:rPr>
      </w:pPr>
    </w:p>
    <w:p w14:paraId="1CB3CA3A" w14:textId="6AE44F56" w:rsidR="00FE3F49" w:rsidRPr="00D775C9" w:rsidRDefault="00C868FD" w:rsidP="003C474D">
      <w:pPr>
        <w:spacing w:after="0" w:line="276" w:lineRule="auto"/>
        <w:jc w:val="both"/>
        <w:rPr>
          <w:rFonts w:ascii="Arial" w:hAnsi="Arial" w:cs="Arial"/>
          <w:b/>
          <w:bCs/>
          <w:smallCaps/>
          <w:kern w:val="0"/>
          <w:sz w:val="20"/>
          <w:szCs w:val="20"/>
          <w14:ligatures w14:val="none"/>
        </w:rPr>
      </w:pPr>
      <w:r w:rsidRPr="00D775C9">
        <w:rPr>
          <w:rFonts w:ascii="Arial" w:hAnsi="Arial" w:cs="Arial"/>
          <w:b/>
          <w:bCs/>
          <w:smallCaps/>
          <w:kern w:val="0"/>
          <w:sz w:val="20"/>
          <w:szCs w:val="20"/>
          <w14:ligatures w14:val="none"/>
        </w:rPr>
        <w:t xml:space="preserve">Italia: </w:t>
      </w:r>
      <w:r w:rsidR="00FE3F49" w:rsidRPr="00D775C9">
        <w:rPr>
          <w:rFonts w:ascii="Arial" w:hAnsi="Arial" w:cs="Arial"/>
          <w:b/>
          <w:bCs/>
          <w:smallCaps/>
          <w:kern w:val="0"/>
          <w:sz w:val="20"/>
          <w:szCs w:val="20"/>
          <w14:ligatures w14:val="none"/>
        </w:rPr>
        <w:t>quando la casa è una scelta di famiglia</w:t>
      </w:r>
    </w:p>
    <w:p w14:paraId="7422B53C" w14:textId="35B8127A" w:rsidR="00D80AE7" w:rsidRPr="00D775C9" w:rsidRDefault="00D80AE7" w:rsidP="00D80AE7">
      <w:pPr>
        <w:spacing w:after="0" w:line="276" w:lineRule="auto"/>
        <w:jc w:val="both"/>
        <w:rPr>
          <w:rFonts w:ascii="Arial" w:hAnsi="Arial" w:cs="Arial"/>
          <w:kern w:val="0"/>
          <w:sz w:val="20"/>
          <w:szCs w:val="20"/>
          <w14:ligatures w14:val="none"/>
        </w:rPr>
      </w:pPr>
      <w:r w:rsidRPr="00D775C9">
        <w:rPr>
          <w:rFonts w:ascii="Arial" w:hAnsi="Arial" w:cs="Arial"/>
          <w:b/>
          <w:bCs/>
          <w:kern w:val="0"/>
          <w:sz w:val="20"/>
          <w:szCs w:val="20"/>
          <w14:ligatures w14:val="none"/>
        </w:rPr>
        <w:t>In questo scenario, l’Italia presenta caratteristiche peculiari, legate a una cultura abitativa in cui la famiglia continua a svolgere un ruolo centrale.</w:t>
      </w:r>
      <w:r w:rsidRPr="00D775C9">
        <w:rPr>
          <w:rFonts w:ascii="Arial" w:hAnsi="Arial" w:cs="Arial"/>
          <w:kern w:val="0"/>
          <w:sz w:val="20"/>
          <w:szCs w:val="20"/>
          <w14:ligatures w14:val="none"/>
        </w:rPr>
        <w:t xml:space="preserve"> </w:t>
      </w:r>
      <w:r w:rsidR="00063D8F">
        <w:rPr>
          <w:rFonts w:ascii="Arial" w:hAnsi="Arial" w:cs="Arial"/>
          <w:kern w:val="0"/>
          <w:sz w:val="20"/>
          <w:szCs w:val="20"/>
          <w14:ligatures w14:val="none"/>
        </w:rPr>
        <w:t>Secondo l’indagine condotta da REMAX, s</w:t>
      </w:r>
      <w:r w:rsidRPr="00D775C9">
        <w:rPr>
          <w:rFonts w:ascii="Arial" w:hAnsi="Arial" w:cs="Arial"/>
          <w:kern w:val="0"/>
          <w:sz w:val="20"/>
          <w:szCs w:val="20"/>
          <w14:ligatures w14:val="none"/>
        </w:rPr>
        <w:t>olo il 14% degli italiani</w:t>
      </w:r>
      <w:r w:rsidR="00B7347F" w:rsidRPr="00D775C9">
        <w:rPr>
          <w:rFonts w:ascii="Arial" w:hAnsi="Arial" w:cs="Arial"/>
          <w:kern w:val="0"/>
          <w:sz w:val="20"/>
          <w:szCs w:val="20"/>
          <w14:ligatures w14:val="none"/>
        </w:rPr>
        <w:t>, infatti,</w:t>
      </w:r>
      <w:r w:rsidRPr="00D775C9">
        <w:rPr>
          <w:rFonts w:ascii="Arial" w:hAnsi="Arial" w:cs="Arial"/>
          <w:kern w:val="0"/>
          <w:sz w:val="20"/>
          <w:szCs w:val="20"/>
          <w14:ligatures w14:val="none"/>
        </w:rPr>
        <w:t xml:space="preserve"> vive da solo, contro una media europea del 18%, mentre oltre un quinto (22%) convive con genitori, fratelli o altri parenti, a conferma di modelli di vita che privilegiano la prossimità e il supporto reciproco.</w:t>
      </w:r>
    </w:p>
    <w:p w14:paraId="728FA393" w14:textId="2D5C93A5" w:rsidR="00D80AE7" w:rsidRDefault="007077FC" w:rsidP="00D80AE7">
      <w:pPr>
        <w:spacing w:after="0" w:line="276" w:lineRule="auto"/>
        <w:jc w:val="both"/>
        <w:rPr>
          <w:rFonts w:ascii="Arial" w:hAnsi="Arial" w:cs="Arial"/>
          <w:kern w:val="0"/>
          <w:sz w:val="20"/>
          <w:szCs w:val="20"/>
          <w14:ligatures w14:val="none"/>
        </w:rPr>
      </w:pPr>
      <w:r>
        <w:rPr>
          <w:rFonts w:ascii="Arial" w:hAnsi="Arial" w:cs="Arial"/>
          <w:kern w:val="0"/>
          <w:sz w:val="20"/>
          <w:szCs w:val="20"/>
          <w14:ligatures w14:val="none"/>
        </w:rPr>
        <w:t>Un’</w:t>
      </w:r>
      <w:r w:rsidR="00D80AE7" w:rsidRPr="00D775C9">
        <w:rPr>
          <w:rFonts w:ascii="Arial" w:hAnsi="Arial" w:cs="Arial"/>
          <w:kern w:val="0"/>
          <w:sz w:val="20"/>
          <w:szCs w:val="20"/>
          <w14:ligatures w14:val="none"/>
        </w:rPr>
        <w:t>impostazione</w:t>
      </w:r>
      <w:r>
        <w:rPr>
          <w:rFonts w:ascii="Arial" w:hAnsi="Arial" w:cs="Arial"/>
          <w:kern w:val="0"/>
          <w:sz w:val="20"/>
          <w:szCs w:val="20"/>
          <w14:ligatures w14:val="none"/>
        </w:rPr>
        <w:t xml:space="preserve"> che si riflette nel</w:t>
      </w:r>
      <w:r w:rsidR="006D56A5">
        <w:rPr>
          <w:rFonts w:ascii="Arial" w:hAnsi="Arial" w:cs="Arial"/>
          <w:kern w:val="0"/>
          <w:sz w:val="20"/>
          <w:szCs w:val="20"/>
          <w14:ligatures w14:val="none"/>
        </w:rPr>
        <w:t xml:space="preserve"> numero di italiani proprietari di casa, che raggiunge </w:t>
      </w:r>
      <w:r w:rsidR="003A32BB">
        <w:rPr>
          <w:rFonts w:ascii="Arial" w:hAnsi="Arial" w:cs="Arial"/>
          <w:kern w:val="0"/>
          <w:sz w:val="20"/>
          <w:szCs w:val="20"/>
          <w14:ligatures w14:val="none"/>
        </w:rPr>
        <w:t>i</w:t>
      </w:r>
      <w:r w:rsidR="00D80AE7" w:rsidRPr="00D775C9">
        <w:rPr>
          <w:rFonts w:ascii="Arial" w:hAnsi="Arial" w:cs="Arial"/>
          <w:kern w:val="0"/>
          <w:sz w:val="20"/>
          <w:szCs w:val="20"/>
          <w14:ligatures w14:val="none"/>
        </w:rPr>
        <w:t>l 76%</w:t>
      </w:r>
      <w:r w:rsidR="003A32BB">
        <w:rPr>
          <w:rFonts w:ascii="Arial" w:hAnsi="Arial" w:cs="Arial"/>
          <w:kern w:val="0"/>
          <w:sz w:val="20"/>
          <w:szCs w:val="20"/>
          <w14:ligatures w14:val="none"/>
        </w:rPr>
        <w:t>, dato ben superiore</w:t>
      </w:r>
      <w:r w:rsidR="00D80AE7" w:rsidRPr="00D775C9">
        <w:rPr>
          <w:rFonts w:ascii="Arial" w:hAnsi="Arial" w:cs="Arial"/>
          <w:kern w:val="0"/>
          <w:sz w:val="20"/>
          <w:szCs w:val="20"/>
          <w14:ligatures w14:val="none"/>
        </w:rPr>
        <w:t xml:space="preserve"> rispetto al 63% della media europea. </w:t>
      </w:r>
      <w:r w:rsidR="00F21F57">
        <w:rPr>
          <w:rFonts w:ascii="Arial" w:hAnsi="Arial" w:cs="Arial"/>
          <w:kern w:val="0"/>
          <w:sz w:val="20"/>
          <w:szCs w:val="20"/>
          <w14:ligatures w14:val="none"/>
        </w:rPr>
        <w:t>Ciò anche grazie al sostegno economico della famiglia: q</w:t>
      </w:r>
      <w:r w:rsidR="00D80AE7" w:rsidRPr="00D775C9">
        <w:rPr>
          <w:rFonts w:ascii="Arial" w:hAnsi="Arial" w:cs="Arial"/>
          <w:kern w:val="0"/>
          <w:sz w:val="20"/>
          <w:szCs w:val="20"/>
          <w14:ligatures w14:val="none"/>
        </w:rPr>
        <w:t xml:space="preserve">uasi tre italiani su quattro (72%) dichiarano infatti di aver ricevuto un </w:t>
      </w:r>
      <w:r w:rsidR="00F11A38">
        <w:rPr>
          <w:rFonts w:ascii="Arial" w:hAnsi="Arial" w:cs="Arial"/>
          <w:kern w:val="0"/>
          <w:sz w:val="20"/>
          <w:szCs w:val="20"/>
          <w14:ligatures w14:val="none"/>
        </w:rPr>
        <w:t>contributo</w:t>
      </w:r>
      <w:r w:rsidR="00D80AE7" w:rsidRPr="00D775C9">
        <w:rPr>
          <w:rFonts w:ascii="Arial" w:hAnsi="Arial" w:cs="Arial"/>
          <w:kern w:val="0"/>
          <w:sz w:val="20"/>
          <w:szCs w:val="20"/>
          <w14:ligatures w14:val="none"/>
        </w:rPr>
        <w:t xml:space="preserve"> da</w:t>
      </w:r>
      <w:r w:rsidR="008D4FB9">
        <w:rPr>
          <w:rFonts w:ascii="Arial" w:hAnsi="Arial" w:cs="Arial"/>
          <w:kern w:val="0"/>
          <w:sz w:val="20"/>
          <w:szCs w:val="20"/>
          <w14:ligatures w14:val="none"/>
        </w:rPr>
        <w:t>i</w:t>
      </w:r>
      <w:r w:rsidR="00D80AE7" w:rsidRPr="00D775C9">
        <w:rPr>
          <w:rFonts w:ascii="Arial" w:hAnsi="Arial" w:cs="Arial"/>
          <w:kern w:val="0"/>
          <w:sz w:val="20"/>
          <w:szCs w:val="20"/>
          <w14:ligatures w14:val="none"/>
        </w:rPr>
        <w:t xml:space="preserve"> parenti</w:t>
      </w:r>
      <w:r w:rsidR="00E248E3" w:rsidRPr="00D775C9">
        <w:rPr>
          <w:rFonts w:ascii="Arial" w:hAnsi="Arial" w:cs="Arial"/>
          <w:kern w:val="0"/>
          <w:sz w:val="20"/>
          <w:szCs w:val="20"/>
          <w14:ligatures w14:val="none"/>
        </w:rPr>
        <w:t xml:space="preserve"> per acquistare casa</w:t>
      </w:r>
      <w:r w:rsidR="00D80AE7" w:rsidRPr="00D775C9">
        <w:rPr>
          <w:rFonts w:ascii="Arial" w:hAnsi="Arial" w:cs="Arial"/>
          <w:kern w:val="0"/>
          <w:sz w:val="20"/>
          <w:szCs w:val="20"/>
          <w14:ligatures w14:val="none"/>
        </w:rPr>
        <w:t xml:space="preserve">, sotto forma di eredità o donazioni. </w:t>
      </w:r>
      <w:r w:rsidR="009E678F" w:rsidRPr="00D775C9">
        <w:rPr>
          <w:rFonts w:ascii="Arial" w:hAnsi="Arial" w:cs="Arial"/>
          <w:kern w:val="0"/>
          <w:sz w:val="20"/>
          <w:szCs w:val="20"/>
          <w14:ligatures w14:val="none"/>
        </w:rPr>
        <w:t xml:space="preserve">Questo modello abitativo si riflette anche in un’elevata soddisfazione: l’80% degli italiani si </w:t>
      </w:r>
      <w:r w:rsidR="000B6AF9" w:rsidRPr="00D775C9">
        <w:rPr>
          <w:rFonts w:ascii="Arial" w:hAnsi="Arial" w:cs="Arial"/>
          <w:kern w:val="0"/>
          <w:sz w:val="20"/>
          <w:szCs w:val="20"/>
          <w14:ligatures w14:val="none"/>
        </w:rPr>
        <w:t>dichiara</w:t>
      </w:r>
      <w:r w:rsidR="009E678F" w:rsidRPr="00D775C9">
        <w:rPr>
          <w:rFonts w:ascii="Arial" w:hAnsi="Arial" w:cs="Arial"/>
          <w:kern w:val="0"/>
          <w:sz w:val="20"/>
          <w:szCs w:val="20"/>
          <w14:ligatures w14:val="none"/>
        </w:rPr>
        <w:t xml:space="preserve"> </w:t>
      </w:r>
      <w:r w:rsidR="000B6AF9" w:rsidRPr="00D775C9">
        <w:rPr>
          <w:rFonts w:ascii="Arial" w:hAnsi="Arial" w:cs="Arial"/>
          <w:kern w:val="0"/>
          <w:sz w:val="20"/>
          <w:szCs w:val="20"/>
          <w14:ligatures w14:val="none"/>
        </w:rPr>
        <w:t>appagato</w:t>
      </w:r>
      <w:r w:rsidR="009E678F" w:rsidRPr="00D775C9">
        <w:rPr>
          <w:rFonts w:ascii="Arial" w:hAnsi="Arial" w:cs="Arial"/>
          <w:kern w:val="0"/>
          <w:sz w:val="20"/>
          <w:szCs w:val="20"/>
          <w14:ligatures w14:val="none"/>
        </w:rPr>
        <w:t xml:space="preserve"> della propria abitazione. </w:t>
      </w:r>
      <w:r w:rsidR="00D80AE7" w:rsidRPr="00D775C9">
        <w:rPr>
          <w:rFonts w:ascii="Arial" w:hAnsi="Arial" w:cs="Arial"/>
          <w:kern w:val="0"/>
          <w:sz w:val="20"/>
          <w:szCs w:val="20"/>
          <w14:ligatures w14:val="none"/>
        </w:rPr>
        <w:t xml:space="preserve">In Italia, dunque, la casa si </w:t>
      </w:r>
      <w:r w:rsidR="00D80AE7" w:rsidRPr="00D775C9">
        <w:rPr>
          <w:rFonts w:ascii="Arial" w:hAnsi="Arial" w:cs="Arial"/>
          <w:kern w:val="0"/>
          <w:sz w:val="20"/>
          <w:szCs w:val="20"/>
          <w14:ligatures w14:val="none"/>
        </w:rPr>
        <w:lastRenderedPageBreak/>
        <w:t>configura come un progetto che coinvolge più generazioni, inserendosi in un percorso di vita condiviso che va oltre la dimensione di coppia.</w:t>
      </w:r>
    </w:p>
    <w:p w14:paraId="2DAA4A4B" w14:textId="77777777" w:rsidR="001020E7" w:rsidRDefault="001020E7" w:rsidP="00D80AE7">
      <w:pPr>
        <w:spacing w:after="0" w:line="276" w:lineRule="auto"/>
        <w:jc w:val="both"/>
        <w:rPr>
          <w:rFonts w:ascii="Arial" w:hAnsi="Arial" w:cs="Arial"/>
          <w:kern w:val="0"/>
          <w:sz w:val="20"/>
          <w:szCs w:val="20"/>
          <w14:ligatures w14:val="none"/>
        </w:rPr>
      </w:pPr>
    </w:p>
    <w:tbl>
      <w:tblPr>
        <w:tblStyle w:val="Grigliatabella"/>
        <w:tblW w:w="0" w:type="auto"/>
        <w:tblBorders>
          <w:top w:val="single" w:sz="4" w:space="0" w:color="660000"/>
          <w:left w:val="single" w:sz="4" w:space="0" w:color="660000"/>
          <w:bottom w:val="single" w:sz="4" w:space="0" w:color="660000"/>
          <w:right w:val="single" w:sz="4" w:space="0" w:color="660000"/>
          <w:insideH w:val="single" w:sz="4" w:space="0" w:color="660000"/>
          <w:insideV w:val="single" w:sz="4" w:space="0" w:color="660000"/>
        </w:tblBorders>
        <w:tblLook w:val="04A0" w:firstRow="1" w:lastRow="0" w:firstColumn="1" w:lastColumn="0" w:noHBand="0" w:noVBand="1"/>
      </w:tblPr>
      <w:tblGrid>
        <w:gridCol w:w="9346"/>
      </w:tblGrid>
      <w:tr w:rsidR="001020E7" w14:paraId="532ACFAD" w14:textId="77777777" w:rsidTr="001020E7">
        <w:tc>
          <w:tcPr>
            <w:tcW w:w="9346" w:type="dxa"/>
          </w:tcPr>
          <w:p w14:paraId="2473451A" w14:textId="77777777" w:rsidR="001020E7" w:rsidRDefault="001020E7" w:rsidP="00D80AE7">
            <w:pPr>
              <w:spacing w:line="276" w:lineRule="auto"/>
              <w:jc w:val="both"/>
              <w:rPr>
                <w:rFonts w:ascii="Arial" w:hAnsi="Arial" w:cs="Arial"/>
                <w:kern w:val="0"/>
                <w:sz w:val="20"/>
                <w:szCs w:val="20"/>
                <w14:ligatures w14:val="none"/>
              </w:rPr>
            </w:pPr>
          </w:p>
          <w:p w14:paraId="1B631706" w14:textId="1DDBFB10" w:rsidR="001020E7" w:rsidRPr="001020E7" w:rsidRDefault="001020E7" w:rsidP="001020E7">
            <w:pPr>
              <w:spacing w:line="276" w:lineRule="auto"/>
              <w:jc w:val="center"/>
              <w:rPr>
                <w:rFonts w:ascii="Arial" w:hAnsi="Arial" w:cs="Arial"/>
                <w:kern w:val="0"/>
                <w:sz w:val="32"/>
                <w:szCs w:val="32"/>
                <w14:ligatures w14:val="none"/>
              </w:rPr>
            </w:pPr>
            <w:r w:rsidRPr="001020E7">
              <w:rPr>
                <w:rFonts w:ascii="Arial" w:hAnsi="Arial" w:cs="Arial"/>
                <w:b/>
                <w:bCs/>
                <w:color w:val="660000"/>
                <w:kern w:val="0"/>
                <w:sz w:val="28"/>
                <w:szCs w:val="28"/>
                <w14:ligatures w14:val="none"/>
              </w:rPr>
              <w:t xml:space="preserve">Sfoglia e scarica il REMAX </w:t>
            </w:r>
            <w:proofErr w:type="spellStart"/>
            <w:r w:rsidRPr="001020E7">
              <w:rPr>
                <w:rFonts w:ascii="Arial" w:hAnsi="Arial" w:cs="Arial"/>
                <w:b/>
                <w:bCs/>
                <w:color w:val="660000"/>
                <w:kern w:val="0"/>
                <w:sz w:val="28"/>
                <w:szCs w:val="28"/>
                <w14:ligatures w14:val="none"/>
              </w:rPr>
              <w:t>European</w:t>
            </w:r>
            <w:proofErr w:type="spellEnd"/>
            <w:r w:rsidRPr="001020E7">
              <w:rPr>
                <w:rFonts w:ascii="Arial" w:hAnsi="Arial" w:cs="Arial"/>
                <w:b/>
                <w:bCs/>
                <w:color w:val="660000"/>
                <w:kern w:val="0"/>
                <w:sz w:val="28"/>
                <w:szCs w:val="28"/>
                <w14:ligatures w14:val="none"/>
              </w:rPr>
              <w:t xml:space="preserve"> Housing Trend Report 2025: </w:t>
            </w:r>
            <w:hyperlink r:id="rId10" w:history="1">
              <w:r w:rsidRPr="001020E7">
                <w:rPr>
                  <w:rStyle w:val="Collegamentoipertestuale"/>
                  <w:rFonts w:ascii="Arial" w:hAnsi="Arial" w:cs="Arial"/>
                  <w:b/>
                  <w:bCs/>
                  <w:kern w:val="0"/>
                  <w:sz w:val="28"/>
                  <w:szCs w:val="28"/>
                  <w14:ligatures w14:val="none"/>
                </w:rPr>
                <w:t>https://rem.ax/EuHousingTrendReport_2025</w:t>
              </w:r>
            </w:hyperlink>
          </w:p>
          <w:p w14:paraId="5A503C6C" w14:textId="77777777" w:rsidR="001020E7" w:rsidRDefault="001020E7" w:rsidP="00D80AE7">
            <w:pPr>
              <w:spacing w:line="276" w:lineRule="auto"/>
              <w:jc w:val="both"/>
              <w:rPr>
                <w:rFonts w:ascii="Arial" w:hAnsi="Arial" w:cs="Arial"/>
                <w:kern w:val="0"/>
                <w:sz w:val="20"/>
                <w:szCs w:val="20"/>
                <w14:ligatures w14:val="none"/>
              </w:rPr>
            </w:pPr>
          </w:p>
        </w:tc>
      </w:tr>
    </w:tbl>
    <w:p w14:paraId="4A9FCB91" w14:textId="77777777" w:rsidR="001020E7" w:rsidRDefault="001020E7" w:rsidP="00D80AE7">
      <w:pPr>
        <w:spacing w:after="0" w:line="276" w:lineRule="auto"/>
        <w:jc w:val="both"/>
        <w:rPr>
          <w:rFonts w:ascii="Arial" w:hAnsi="Arial" w:cs="Arial"/>
          <w:kern w:val="0"/>
          <w:sz w:val="20"/>
          <w:szCs w:val="20"/>
          <w14:ligatures w14:val="none"/>
        </w:rPr>
      </w:pPr>
    </w:p>
    <w:p w14:paraId="0C856E20" w14:textId="77777777" w:rsidR="001020E7" w:rsidRDefault="001020E7" w:rsidP="003C474D">
      <w:pPr>
        <w:spacing w:after="0" w:line="276" w:lineRule="auto"/>
        <w:jc w:val="both"/>
        <w:rPr>
          <w:rFonts w:ascii="Arial" w:eastAsia="Calibri" w:hAnsi="Arial" w:cs="Arial"/>
          <w:b/>
          <w:color w:val="000E35"/>
          <w:sz w:val="20"/>
          <w:szCs w:val="20"/>
        </w:rPr>
      </w:pPr>
    </w:p>
    <w:p w14:paraId="0D8905E5" w14:textId="3132FFA0" w:rsidR="00C72CFC" w:rsidRPr="00727A23" w:rsidRDefault="00C72CFC" w:rsidP="003C474D">
      <w:pPr>
        <w:spacing w:after="0" w:line="276" w:lineRule="auto"/>
        <w:jc w:val="both"/>
        <w:rPr>
          <w:rFonts w:ascii="Arial" w:eastAsia="Calibri" w:hAnsi="Arial" w:cs="Arial"/>
          <w:b/>
          <w:color w:val="000E35"/>
          <w:sz w:val="20"/>
          <w:szCs w:val="20"/>
        </w:rPr>
      </w:pPr>
      <w:r w:rsidRPr="00727A23">
        <w:rPr>
          <w:rFonts w:ascii="Arial" w:eastAsia="Calibri" w:hAnsi="Arial" w:cs="Arial"/>
          <w:b/>
          <w:color w:val="000E35"/>
          <w:sz w:val="20"/>
          <w:szCs w:val="20"/>
        </w:rPr>
        <w:t xml:space="preserve">Informazioni sul rapporto REMAX </w:t>
      </w:r>
      <w:proofErr w:type="spellStart"/>
      <w:r w:rsidRPr="00727A23">
        <w:rPr>
          <w:rFonts w:ascii="Arial" w:eastAsia="Calibri" w:hAnsi="Arial" w:cs="Arial"/>
          <w:b/>
          <w:color w:val="000E35"/>
          <w:sz w:val="20"/>
          <w:szCs w:val="20"/>
        </w:rPr>
        <w:t>European</w:t>
      </w:r>
      <w:proofErr w:type="spellEnd"/>
      <w:r w:rsidRPr="00727A23">
        <w:rPr>
          <w:rFonts w:ascii="Arial" w:eastAsia="Calibri" w:hAnsi="Arial" w:cs="Arial"/>
          <w:b/>
          <w:color w:val="000E35"/>
          <w:sz w:val="20"/>
          <w:szCs w:val="20"/>
        </w:rPr>
        <w:t xml:space="preserve"> Housing Trend Report 2025</w:t>
      </w:r>
    </w:p>
    <w:p w14:paraId="0A3ABAA5" w14:textId="2E936973" w:rsidR="008642D9" w:rsidRPr="00727A23" w:rsidRDefault="008642D9" w:rsidP="008642D9">
      <w:pPr>
        <w:spacing w:after="0" w:line="276" w:lineRule="auto"/>
        <w:jc w:val="both"/>
        <w:rPr>
          <w:rFonts w:ascii="Arial" w:hAnsi="Arial" w:cs="Arial"/>
          <w:kern w:val="0"/>
          <w:sz w:val="20"/>
          <w:szCs w:val="20"/>
          <w14:ligatures w14:val="none"/>
        </w:rPr>
      </w:pPr>
      <w:r w:rsidRPr="00727A23">
        <w:rPr>
          <w:rFonts w:ascii="Arial" w:hAnsi="Arial" w:cs="Arial"/>
          <w:kern w:val="0"/>
          <w:sz w:val="20"/>
          <w:szCs w:val="20"/>
          <w14:ligatures w14:val="none"/>
        </w:rPr>
        <w:t xml:space="preserve">Il REMAX </w:t>
      </w:r>
      <w:proofErr w:type="spellStart"/>
      <w:r w:rsidRPr="00727A23">
        <w:rPr>
          <w:rFonts w:ascii="Arial" w:hAnsi="Arial" w:cs="Arial"/>
          <w:kern w:val="0"/>
          <w:sz w:val="20"/>
          <w:szCs w:val="20"/>
          <w14:ligatures w14:val="none"/>
        </w:rPr>
        <w:t>European</w:t>
      </w:r>
      <w:proofErr w:type="spellEnd"/>
      <w:r w:rsidRPr="00727A23">
        <w:rPr>
          <w:rFonts w:ascii="Arial" w:hAnsi="Arial" w:cs="Arial"/>
          <w:kern w:val="0"/>
          <w:sz w:val="20"/>
          <w:szCs w:val="20"/>
          <w14:ligatures w14:val="none"/>
        </w:rPr>
        <w:t xml:space="preserve"> Housing Trend Report 2025 offre un</w:t>
      </w:r>
      <w:r w:rsidR="00FD5378">
        <w:rPr>
          <w:rFonts w:ascii="Arial" w:hAnsi="Arial" w:cs="Arial"/>
          <w:kern w:val="0"/>
          <w:sz w:val="20"/>
          <w:szCs w:val="20"/>
          <w14:ligatures w14:val="none"/>
        </w:rPr>
        <w:t>’</w:t>
      </w:r>
      <w:r w:rsidRPr="00727A23">
        <w:rPr>
          <w:rFonts w:ascii="Arial" w:hAnsi="Arial" w:cs="Arial"/>
          <w:kern w:val="0"/>
          <w:sz w:val="20"/>
          <w:szCs w:val="20"/>
          <w14:ligatures w14:val="none"/>
        </w:rPr>
        <w:t xml:space="preserve">analisi dettagliata dei significativi cambiamenti che stanno influenzando il mercato immobiliare europeo, esaminando come le pressioni finanziarie, i legami familiari e le norme culturali stiano modellando le scelte abitative. Tutte le ricerche, salvo diversa indicazione, sono state condotte da </w:t>
      </w:r>
      <w:proofErr w:type="spellStart"/>
      <w:r w:rsidRPr="00727A23">
        <w:rPr>
          <w:rFonts w:ascii="Arial" w:hAnsi="Arial" w:cs="Arial"/>
          <w:kern w:val="0"/>
          <w:sz w:val="20"/>
          <w:szCs w:val="20"/>
          <w14:ligatures w14:val="none"/>
        </w:rPr>
        <w:t>Opinium</w:t>
      </w:r>
      <w:proofErr w:type="spellEnd"/>
      <w:r w:rsidRPr="00727A23">
        <w:rPr>
          <w:rFonts w:ascii="Arial" w:hAnsi="Arial" w:cs="Arial"/>
          <w:kern w:val="0"/>
          <w:sz w:val="20"/>
          <w:szCs w:val="20"/>
          <w14:ligatures w14:val="none"/>
        </w:rPr>
        <w:t xml:space="preserve"> </w:t>
      </w:r>
      <w:proofErr w:type="spellStart"/>
      <w:r w:rsidRPr="00727A23">
        <w:rPr>
          <w:rFonts w:ascii="Arial" w:hAnsi="Arial" w:cs="Arial"/>
          <w:kern w:val="0"/>
          <w:sz w:val="20"/>
          <w:szCs w:val="20"/>
          <w14:ligatures w14:val="none"/>
        </w:rPr>
        <w:t>Research</w:t>
      </w:r>
      <w:proofErr w:type="spellEnd"/>
      <w:r w:rsidRPr="00727A23">
        <w:rPr>
          <w:rFonts w:ascii="Arial" w:hAnsi="Arial" w:cs="Arial"/>
          <w:kern w:val="0"/>
          <w:sz w:val="20"/>
          <w:szCs w:val="20"/>
          <w14:ligatures w14:val="none"/>
        </w:rPr>
        <w:t>, che ha intervistato oltre 21.000 adulti (18+) nel Regno Unito, Francia, Germania, Austria, Bulgaria, Croazia, Repubblica Ceca, Finlandia, Grecia, Ungheria, Irlanda, Italia, Lussemburgo, Lituania, Malta, Paesi Bassi, Polonia, Portogallo, Romania, Slovenia, Spagna, Svizzera e Turchia. I risultati sono stati ponderati per garantire una rappresentatività a livello nazionale per mercato.</w:t>
      </w:r>
    </w:p>
    <w:p w14:paraId="0A170125" w14:textId="57735DA0" w:rsidR="008642D9" w:rsidRPr="008642D9" w:rsidRDefault="008642D9" w:rsidP="00F363C4">
      <w:pPr>
        <w:jc w:val="both"/>
        <w:rPr>
          <w:rFonts w:ascii="Arial" w:hAnsi="Arial" w:cs="Arial"/>
          <w:b/>
          <w:bCs/>
          <w:i/>
          <w:iCs/>
          <w:sz w:val="20"/>
          <w:szCs w:val="20"/>
        </w:rPr>
      </w:pPr>
      <w:r w:rsidRPr="00727A23">
        <w:rPr>
          <w:rFonts w:ascii="Arial" w:hAnsi="Arial" w:cs="Arial"/>
          <w:b/>
          <w:bCs/>
          <w:i/>
          <w:iCs/>
          <w:sz w:val="20"/>
          <w:szCs w:val="20"/>
        </w:rPr>
        <w:t>Nota: i risultati presentati in questo rapporto sono frutto di un</w:t>
      </w:r>
      <w:r w:rsidR="00FD5378">
        <w:rPr>
          <w:rFonts w:ascii="Arial" w:hAnsi="Arial" w:cs="Arial"/>
          <w:b/>
          <w:bCs/>
          <w:i/>
          <w:iCs/>
          <w:sz w:val="20"/>
          <w:szCs w:val="20"/>
        </w:rPr>
        <w:t>’</w:t>
      </w:r>
      <w:r w:rsidRPr="00727A23">
        <w:rPr>
          <w:rFonts w:ascii="Arial" w:hAnsi="Arial" w:cs="Arial"/>
          <w:b/>
          <w:bCs/>
          <w:i/>
          <w:iCs/>
          <w:sz w:val="20"/>
          <w:szCs w:val="20"/>
        </w:rPr>
        <w:t>indagine</w:t>
      </w:r>
      <w:r w:rsidR="00482EA3" w:rsidRPr="00727A23">
        <w:rPr>
          <w:rFonts w:ascii="Arial" w:hAnsi="Arial" w:cs="Arial"/>
          <w:b/>
          <w:bCs/>
          <w:i/>
          <w:iCs/>
          <w:sz w:val="20"/>
          <w:szCs w:val="20"/>
        </w:rPr>
        <w:t xml:space="preserve"> realizzata da</w:t>
      </w:r>
      <w:r w:rsidRPr="00727A23">
        <w:rPr>
          <w:rFonts w:ascii="Arial" w:hAnsi="Arial" w:cs="Arial"/>
          <w:b/>
          <w:bCs/>
          <w:i/>
          <w:iCs/>
          <w:sz w:val="20"/>
          <w:szCs w:val="20"/>
        </w:rPr>
        <w:t xml:space="preserve"> </w:t>
      </w:r>
      <w:r w:rsidR="00482EA3" w:rsidRPr="00727A23">
        <w:rPr>
          <w:rFonts w:ascii="Arial" w:hAnsi="Arial" w:cs="Arial"/>
          <w:b/>
          <w:bCs/>
          <w:i/>
          <w:iCs/>
          <w:sz w:val="20"/>
          <w:szCs w:val="20"/>
        </w:rPr>
        <w:t>Grayling per conto di REMAX Europe</w:t>
      </w:r>
      <w:r w:rsidRPr="00727A23">
        <w:rPr>
          <w:rFonts w:ascii="Arial" w:hAnsi="Arial" w:cs="Arial"/>
          <w:b/>
          <w:bCs/>
          <w:i/>
          <w:iCs/>
          <w:sz w:val="20"/>
          <w:szCs w:val="20"/>
        </w:rPr>
        <w:t>. REMAX Europe declina ogni responsabilità per eventuali sviluppi o modifiche che potrebbero essersi verificati successivamente</w:t>
      </w:r>
      <w:r w:rsidR="00482EA3" w:rsidRPr="00727A23">
        <w:rPr>
          <w:rFonts w:ascii="Arial" w:hAnsi="Arial" w:cs="Arial"/>
          <w:b/>
          <w:bCs/>
          <w:i/>
          <w:iCs/>
          <w:sz w:val="20"/>
          <w:szCs w:val="20"/>
        </w:rPr>
        <w:t xml:space="preserve"> alla raccolta dei dati</w:t>
      </w:r>
      <w:r w:rsidRPr="00727A23">
        <w:rPr>
          <w:rFonts w:ascii="Arial" w:hAnsi="Arial" w:cs="Arial"/>
          <w:b/>
          <w:bCs/>
          <w:i/>
          <w:iCs/>
          <w:sz w:val="20"/>
          <w:szCs w:val="20"/>
        </w:rPr>
        <w:t>.</w:t>
      </w:r>
      <w:r w:rsidRPr="008642D9">
        <w:rPr>
          <w:rFonts w:ascii="Arial" w:hAnsi="Arial" w:cs="Arial"/>
          <w:b/>
          <w:bCs/>
          <w:i/>
          <w:iCs/>
          <w:sz w:val="20"/>
          <w:szCs w:val="20"/>
        </w:rPr>
        <w:t xml:space="preserve"> </w:t>
      </w:r>
    </w:p>
    <w:p w14:paraId="26D4B2EA" w14:textId="77777777" w:rsidR="00447878" w:rsidRDefault="00447878" w:rsidP="00CC4999">
      <w:pPr>
        <w:spacing w:after="0" w:line="276" w:lineRule="auto"/>
        <w:rPr>
          <w:rFonts w:ascii="Arial" w:eastAsia="Calibri" w:hAnsi="Arial" w:cs="Arial"/>
          <w:b/>
          <w:color w:val="000E35"/>
          <w:sz w:val="20"/>
          <w:szCs w:val="20"/>
        </w:rPr>
      </w:pPr>
    </w:p>
    <w:p w14:paraId="473B0193" w14:textId="77777777" w:rsidR="00D775C9" w:rsidRPr="007822C5" w:rsidRDefault="00D775C9" w:rsidP="00D775C9">
      <w:pPr>
        <w:spacing w:after="0" w:line="276" w:lineRule="auto"/>
        <w:rPr>
          <w:rFonts w:ascii="Arial" w:eastAsia="Calibri" w:hAnsi="Arial" w:cs="Arial"/>
          <w:color w:val="000E35"/>
          <w:sz w:val="20"/>
          <w:szCs w:val="20"/>
        </w:rPr>
      </w:pPr>
      <w:r w:rsidRPr="007822C5">
        <w:rPr>
          <w:rFonts w:ascii="Arial" w:eastAsia="Calibri" w:hAnsi="Arial" w:cs="Arial"/>
          <w:b/>
          <w:color w:val="000E35"/>
          <w:sz w:val="20"/>
          <w:szCs w:val="20"/>
        </w:rPr>
        <w:t xml:space="preserve">COMPANY PROFILE REMAX ITALIA </w:t>
      </w:r>
      <w:r w:rsidRPr="004628B4">
        <w:rPr>
          <w:rFonts w:ascii="Arial" w:eastAsia="Calibri" w:hAnsi="Arial" w:cs="Arial"/>
          <w:bCs/>
          <w:color w:val="000E35"/>
          <w:sz w:val="20"/>
          <w:szCs w:val="20"/>
        </w:rPr>
        <w:t>–</w:t>
      </w:r>
      <w:r w:rsidRPr="007822C5">
        <w:rPr>
          <w:rFonts w:ascii="Arial" w:eastAsia="Calibri" w:hAnsi="Arial" w:cs="Arial"/>
          <w:b/>
          <w:color w:val="000E35"/>
          <w:sz w:val="20"/>
          <w:szCs w:val="20"/>
        </w:rPr>
        <w:t xml:space="preserve"> </w:t>
      </w:r>
      <w:hyperlink r:id="rId11" w:tgtFrame="_blank" w:history="1">
        <w:r w:rsidRPr="007822C5">
          <w:rPr>
            <w:rFonts w:ascii="Arial" w:eastAsia="Calibri" w:hAnsi="Arial" w:cs="Arial"/>
            <w:color w:val="000E35"/>
            <w:sz w:val="20"/>
            <w:szCs w:val="20"/>
          </w:rPr>
          <w:t>remax.it</w:t>
        </w:r>
      </w:hyperlink>
      <w:bookmarkStart w:id="0" w:name="m_-3997512797049620921__Hlk176446127"/>
      <w:bookmarkEnd w:id="0"/>
    </w:p>
    <w:p w14:paraId="3DB84330" w14:textId="77777777" w:rsidR="00D775C9" w:rsidRPr="007822C5" w:rsidRDefault="00D775C9" w:rsidP="00D775C9">
      <w:pPr>
        <w:spacing w:after="200" w:line="276" w:lineRule="auto"/>
        <w:jc w:val="both"/>
        <w:rPr>
          <w:rFonts w:ascii="Arial" w:eastAsia="Calibri" w:hAnsi="Arial" w:cs="Arial"/>
          <w:color w:val="000E35"/>
          <w:sz w:val="18"/>
          <w:szCs w:val="18"/>
        </w:rPr>
      </w:pPr>
      <w:r w:rsidRPr="007822C5">
        <w:rPr>
          <w:rFonts w:ascii="Arial" w:eastAsia="Calibri" w:hAnsi="Arial" w:cs="Arial"/>
          <w:color w:val="000E35"/>
          <w:sz w:val="18"/>
          <w:szCs w:val="18"/>
        </w:rPr>
        <w:t xml:space="preserve">Fondata negli Stati Uniti nel 1973 da Dave e Gail Liniger, REMAX arriva in Italia nel 1996 grazie alla lungimirante visione di Dario Castiglia, tutt’oggi alla guida del network immobiliare. Anno dopo anno, REMAX consolida la propria leadership a livello mondiale, operando oggi in oltre 110 Paesi con oltre 9.400 agenzie e quasi 145.000 agenti affiliati. Il suo esclusivo modello di business si basa sullo studio associato, che massimizza le opportunità offerte dal settore immobiliare. Un sistema rivoluzionario fondato su un metodo di collaborazione che permette di aumentare la produttività degli agenti, offrire un servizio di qualità superiore ai clienti e potenziare il giro d’affari delle agenzie immobiliari. Massima produttività, massima innovazione, massima redditività: in una parola REMAX. </w:t>
      </w:r>
      <w:r w:rsidRPr="002A4E52">
        <w:rPr>
          <w:rFonts w:ascii="Arial" w:eastAsia="Calibri" w:hAnsi="Arial" w:cs="Arial"/>
          <w:color w:val="000E35"/>
          <w:sz w:val="18"/>
          <w:szCs w:val="18"/>
        </w:rPr>
        <w:t>Per il 2026, anno in cui REMAX Italia celebra il 30° anniversario,</w:t>
      </w:r>
      <w:r>
        <w:rPr>
          <w:rFonts w:ascii="Arial" w:eastAsia="Calibri" w:hAnsi="Arial" w:cs="Arial"/>
          <w:color w:val="000E35"/>
          <w:sz w:val="18"/>
          <w:szCs w:val="18"/>
        </w:rPr>
        <w:t xml:space="preserve"> </w:t>
      </w:r>
      <w:r w:rsidRPr="007822C5">
        <w:rPr>
          <w:rFonts w:ascii="Arial" w:eastAsia="Calibri" w:hAnsi="Arial" w:cs="Arial"/>
          <w:color w:val="000E35"/>
          <w:sz w:val="18"/>
          <w:szCs w:val="18"/>
        </w:rPr>
        <w:t>l’obiettivo è continuare a crescere in termini di fatturato e ampliare il network. La promessa al cliente è di trovare il miglior acquirente nel minor tempo possibile, garantendo un’esperienza confortevole e soddisfacente anche sotto il profilo economico. REMAX Italia è Official Partner della Nazionale Italiana di Calcio, una collaborazione che si fonda su valori condivisi quali eccellenza, passione e gioco di squadra, essenziali tanto nello sport quanto nel real estate.</w:t>
      </w:r>
    </w:p>
    <w:p w14:paraId="76101D4A" w14:textId="77777777" w:rsidR="00CC4999" w:rsidRPr="00CC4999" w:rsidRDefault="00CC4999" w:rsidP="00CC4999">
      <w:pPr>
        <w:keepNext/>
        <w:keepLines/>
        <w:spacing w:before="400" w:after="0"/>
        <w:rPr>
          <w:rFonts w:ascii="Arial" w:hAnsi="Arial" w:cs="Arial"/>
          <w:b/>
          <w:color w:val="000E35"/>
          <w:sz w:val="20"/>
          <w:szCs w:val="20"/>
        </w:rPr>
      </w:pPr>
      <w:r w:rsidRPr="00CC4999">
        <w:rPr>
          <w:rFonts w:ascii="Arial" w:hAnsi="Arial" w:cs="Arial"/>
          <w:b/>
          <w:color w:val="000E35"/>
          <w:sz w:val="20"/>
          <w:szCs w:val="20"/>
          <w:u w:val="single"/>
        </w:rPr>
        <w:t>UFFICIO STAMPA REMAX ITALIA</w:t>
      </w:r>
      <w:r w:rsidRPr="00CC4999">
        <w:rPr>
          <w:rFonts w:ascii="Arial" w:hAnsi="Arial" w:cs="Arial"/>
          <w:b/>
          <w:color w:val="000E35"/>
          <w:sz w:val="20"/>
          <w:szCs w:val="20"/>
        </w:rPr>
        <w:br/>
        <w:t xml:space="preserve">Pinkommunication </w:t>
      </w:r>
    </w:p>
    <w:p w14:paraId="6340A3FB" w14:textId="77777777" w:rsidR="00CC4999" w:rsidRPr="00CC4999" w:rsidRDefault="00CC4999" w:rsidP="00CC4999">
      <w:pPr>
        <w:spacing w:after="0"/>
        <w:rPr>
          <w:rFonts w:ascii="Arial" w:hAnsi="Arial" w:cs="Arial"/>
          <w:color w:val="000E35"/>
          <w:sz w:val="20"/>
          <w:szCs w:val="20"/>
        </w:rPr>
      </w:pPr>
      <w:r w:rsidRPr="00CC4999">
        <w:rPr>
          <w:rFonts w:ascii="Arial" w:hAnsi="Arial" w:cs="Arial"/>
          <w:color w:val="000E35"/>
          <w:sz w:val="20"/>
          <w:szCs w:val="20"/>
        </w:rPr>
        <w:t xml:space="preserve">Cristina Cortellezzi – Laura Premoli – Claudia Valerani </w:t>
      </w:r>
    </w:p>
    <w:p w14:paraId="3E7CDE55" w14:textId="36FA33C0" w:rsidR="00CC4999" w:rsidRPr="00CC4999" w:rsidRDefault="00CC4999" w:rsidP="003C4C68">
      <w:pPr>
        <w:spacing w:after="0"/>
        <w:rPr>
          <w:rFonts w:ascii="Arial" w:hAnsi="Arial" w:cs="Arial"/>
          <w:color w:val="000000"/>
          <w:sz w:val="20"/>
          <w:szCs w:val="20"/>
        </w:rPr>
      </w:pPr>
      <w:hyperlink r:id="rId12" w:history="1">
        <w:r w:rsidRPr="00CC4999">
          <w:rPr>
            <w:rStyle w:val="Collegamentoipertestuale"/>
            <w:rFonts w:ascii="Arial" w:hAnsi="Arial" w:cs="Arial"/>
            <w:color w:val="000E35"/>
            <w:sz w:val="20"/>
            <w:szCs w:val="20"/>
          </w:rPr>
          <w:t>info@pinkommunication.it</w:t>
        </w:r>
      </w:hyperlink>
      <w:r w:rsidRPr="00CC4999">
        <w:rPr>
          <w:rFonts w:ascii="Arial" w:hAnsi="Arial" w:cs="Arial"/>
          <w:color w:val="000E35"/>
          <w:sz w:val="20"/>
          <w:szCs w:val="20"/>
        </w:rPr>
        <w:t xml:space="preserve"> </w:t>
      </w:r>
      <w:r w:rsidR="003C4C68">
        <w:rPr>
          <w:rFonts w:ascii="Arial" w:hAnsi="Arial" w:cs="Arial"/>
          <w:color w:val="000E35"/>
          <w:sz w:val="20"/>
          <w:szCs w:val="20"/>
        </w:rPr>
        <w:t xml:space="preserve">- </w:t>
      </w:r>
      <w:r w:rsidRPr="00CC4999">
        <w:rPr>
          <w:rFonts w:ascii="Arial" w:hAnsi="Arial" w:cs="Arial"/>
          <w:color w:val="000E35"/>
          <w:sz w:val="20"/>
          <w:szCs w:val="20"/>
        </w:rPr>
        <w:t>T. 02 89077160 – M. 340 1044227</w:t>
      </w:r>
    </w:p>
    <w:sectPr w:rsidR="00CC4999" w:rsidRPr="00CC4999" w:rsidSect="00AF4A39">
      <w:headerReference w:type="default" r:id="rId13"/>
      <w:pgSz w:w="11906" w:h="16838"/>
      <w:pgMar w:top="284" w:right="1416"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9C0D" w14:textId="77777777" w:rsidR="00DF2C2B" w:rsidRDefault="00DF2C2B" w:rsidP="00CC4999">
      <w:pPr>
        <w:spacing w:after="0" w:line="240" w:lineRule="auto"/>
      </w:pPr>
      <w:r>
        <w:separator/>
      </w:r>
    </w:p>
  </w:endnote>
  <w:endnote w:type="continuationSeparator" w:id="0">
    <w:p w14:paraId="10995D3A" w14:textId="77777777" w:rsidR="00DF2C2B" w:rsidRDefault="00DF2C2B" w:rsidP="00CC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0E40" w14:textId="77777777" w:rsidR="00DF2C2B" w:rsidRDefault="00DF2C2B" w:rsidP="00CC4999">
      <w:pPr>
        <w:spacing w:after="0" w:line="240" w:lineRule="auto"/>
      </w:pPr>
      <w:r>
        <w:separator/>
      </w:r>
    </w:p>
  </w:footnote>
  <w:footnote w:type="continuationSeparator" w:id="0">
    <w:p w14:paraId="7BF23623" w14:textId="77777777" w:rsidR="00DF2C2B" w:rsidRDefault="00DF2C2B" w:rsidP="00CC4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8159" w14:textId="77777777" w:rsidR="00CC4999" w:rsidRPr="0059406F" w:rsidRDefault="00CC4999" w:rsidP="007822C5">
    <w:pPr>
      <w:spacing w:after="0"/>
      <w:ind w:left="-284" w:firstLine="284"/>
      <w:jc w:val="both"/>
      <w:rPr>
        <w:rFonts w:ascii="Arial" w:hAnsi="Arial" w:cs="Arial"/>
        <w:color w:val="000000"/>
      </w:rPr>
    </w:pPr>
  </w:p>
  <w:tbl>
    <w:tblPr>
      <w:tblStyle w:val="Grigliatabella"/>
      <w:tblW w:w="1020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317"/>
    </w:tblGrid>
    <w:tr w:rsidR="00CC4999" w14:paraId="5FC130C9" w14:textId="77777777" w:rsidTr="007822C5">
      <w:tc>
        <w:tcPr>
          <w:tcW w:w="4889" w:type="dxa"/>
        </w:tcPr>
        <w:p w14:paraId="129FF220" w14:textId="77777777" w:rsidR="00CC4999" w:rsidRDefault="00CC4999" w:rsidP="007822C5">
          <w:pPr>
            <w:ind w:left="-284" w:firstLine="316"/>
            <w:jc w:val="both"/>
            <w:rPr>
              <w:rFonts w:ascii="Arial" w:hAnsi="Arial" w:cs="Arial"/>
              <w:color w:val="000000"/>
            </w:rPr>
          </w:pPr>
          <w:r>
            <w:rPr>
              <w:rFonts w:ascii="Arial" w:hAnsi="Arial" w:cs="Arial"/>
              <w:noProof/>
              <w:color w:val="000000"/>
            </w:rPr>
            <w:drawing>
              <wp:inline distT="0" distB="0" distL="0" distR="0" wp14:anchorId="4C36CB46" wp14:editId="6D211884">
                <wp:extent cx="2228977" cy="1099225"/>
                <wp:effectExtent l="0" t="0" r="0" b="0"/>
                <wp:docPr id="87742000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5969" name="Immagine 1168645969"/>
                        <pic:cNvPicPr/>
                      </pic:nvPicPr>
                      <pic:blipFill>
                        <a:blip r:embed="rId1">
                          <a:extLst>
                            <a:ext uri="{28A0092B-C50C-407E-A947-70E740481C1C}">
                              <a14:useLocalDpi xmlns:a14="http://schemas.microsoft.com/office/drawing/2010/main" val="0"/>
                            </a:ext>
                          </a:extLst>
                        </a:blip>
                        <a:stretch>
                          <a:fillRect/>
                        </a:stretch>
                      </pic:blipFill>
                      <pic:spPr>
                        <a:xfrm>
                          <a:off x="0" y="0"/>
                          <a:ext cx="2242213" cy="1105752"/>
                        </a:xfrm>
                        <a:prstGeom prst="rect">
                          <a:avLst/>
                        </a:prstGeom>
                      </pic:spPr>
                    </pic:pic>
                  </a:graphicData>
                </a:graphic>
              </wp:inline>
            </w:drawing>
          </w:r>
        </w:p>
      </w:tc>
      <w:tc>
        <w:tcPr>
          <w:tcW w:w="5317" w:type="dxa"/>
        </w:tcPr>
        <w:p w14:paraId="1D187158" w14:textId="77777777" w:rsidR="00CC4999" w:rsidRPr="00CC4999" w:rsidRDefault="00CC4999" w:rsidP="00CC4999">
          <w:pPr>
            <w:keepNext/>
            <w:keepLines/>
            <w:spacing w:before="400"/>
            <w:jc w:val="right"/>
            <w:rPr>
              <w:rFonts w:ascii="Arial" w:hAnsi="Arial" w:cs="Arial"/>
              <w:b/>
              <w:color w:val="000E35"/>
              <w:sz w:val="18"/>
              <w:szCs w:val="18"/>
            </w:rPr>
          </w:pPr>
          <w:r w:rsidRPr="00CC4999">
            <w:rPr>
              <w:rFonts w:ascii="Arial" w:hAnsi="Arial" w:cs="Arial"/>
              <w:b/>
              <w:color w:val="000E35"/>
              <w:sz w:val="18"/>
              <w:szCs w:val="18"/>
              <w:u w:val="single"/>
            </w:rPr>
            <w:t>UFFICIO STAMPA REMAX ITALIA</w:t>
          </w:r>
          <w:r w:rsidRPr="00CC4999">
            <w:rPr>
              <w:rFonts w:ascii="Arial" w:hAnsi="Arial" w:cs="Arial"/>
              <w:b/>
              <w:color w:val="000E35"/>
              <w:sz w:val="18"/>
              <w:szCs w:val="18"/>
            </w:rPr>
            <w:br/>
            <w:t xml:space="preserve">Pinkommunication </w:t>
          </w:r>
        </w:p>
        <w:p w14:paraId="4DC10DE4" w14:textId="77777777" w:rsidR="00CC4999" w:rsidRPr="00CC4999" w:rsidRDefault="00CC4999" w:rsidP="00CC4999">
          <w:pPr>
            <w:jc w:val="right"/>
            <w:rPr>
              <w:rFonts w:ascii="Arial" w:hAnsi="Arial" w:cs="Arial"/>
              <w:color w:val="000E35"/>
              <w:sz w:val="18"/>
              <w:szCs w:val="18"/>
            </w:rPr>
          </w:pPr>
          <w:r w:rsidRPr="00CC4999">
            <w:rPr>
              <w:rFonts w:ascii="Arial" w:hAnsi="Arial" w:cs="Arial"/>
              <w:color w:val="000E35"/>
              <w:sz w:val="18"/>
              <w:szCs w:val="18"/>
            </w:rPr>
            <w:t xml:space="preserve">Cristina Cortellezzi – Laura Premoli – Claudia Valerani </w:t>
          </w:r>
        </w:p>
        <w:p w14:paraId="023EC444" w14:textId="77777777" w:rsidR="00CC4999" w:rsidRPr="00CC4999" w:rsidRDefault="00CC4999" w:rsidP="00CC4999">
          <w:pPr>
            <w:jc w:val="right"/>
            <w:rPr>
              <w:rFonts w:ascii="Arial" w:hAnsi="Arial" w:cs="Arial"/>
              <w:color w:val="000E35"/>
              <w:sz w:val="18"/>
              <w:szCs w:val="18"/>
            </w:rPr>
          </w:pPr>
          <w:hyperlink r:id="rId2" w:history="1">
            <w:r w:rsidRPr="00CC4999">
              <w:rPr>
                <w:rStyle w:val="Collegamentoipertestuale"/>
                <w:rFonts w:ascii="Arial" w:hAnsi="Arial" w:cs="Arial"/>
                <w:color w:val="000E35"/>
                <w:sz w:val="18"/>
                <w:szCs w:val="18"/>
              </w:rPr>
              <w:t>info@pinkommunication.it</w:t>
            </w:r>
          </w:hyperlink>
          <w:r w:rsidRPr="00CC4999">
            <w:rPr>
              <w:rFonts w:ascii="Arial" w:hAnsi="Arial" w:cs="Arial"/>
              <w:color w:val="000E35"/>
              <w:sz w:val="18"/>
              <w:szCs w:val="18"/>
            </w:rPr>
            <w:t xml:space="preserve"> </w:t>
          </w:r>
        </w:p>
        <w:p w14:paraId="3CFC0F6A" w14:textId="77777777" w:rsidR="00CC4999" w:rsidRPr="00CC4999" w:rsidRDefault="00CC4999" w:rsidP="00CC4999">
          <w:pPr>
            <w:jc w:val="right"/>
            <w:rPr>
              <w:rFonts w:ascii="Arial" w:hAnsi="Arial" w:cs="Arial"/>
              <w:color w:val="000000"/>
              <w:sz w:val="18"/>
              <w:szCs w:val="18"/>
            </w:rPr>
          </w:pPr>
          <w:r w:rsidRPr="00CC4999">
            <w:rPr>
              <w:rFonts w:ascii="Arial" w:hAnsi="Arial" w:cs="Arial"/>
              <w:color w:val="000E35"/>
              <w:sz w:val="18"/>
              <w:szCs w:val="18"/>
            </w:rPr>
            <w:t>T. 02 89077160 – M. 340 1044227</w:t>
          </w:r>
        </w:p>
        <w:p w14:paraId="2CE81D85" w14:textId="77777777" w:rsidR="00CC4999" w:rsidRDefault="00CC4999" w:rsidP="00CC4999">
          <w:pPr>
            <w:jc w:val="right"/>
            <w:rPr>
              <w:rFonts w:ascii="Arial" w:hAnsi="Arial" w:cs="Arial"/>
              <w:color w:val="000000"/>
            </w:rPr>
          </w:pPr>
        </w:p>
      </w:tc>
    </w:tr>
  </w:tbl>
  <w:p w14:paraId="11797513" w14:textId="77777777" w:rsidR="00CC4999" w:rsidRDefault="00CC49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64DC"/>
    <w:multiLevelType w:val="multilevel"/>
    <w:tmpl w:val="A34079B2"/>
    <w:lvl w:ilvl="0">
      <w:start w:val="1"/>
      <w:numFmt w:val="none"/>
      <w:suff w:val="nothing"/>
      <w:lvlText w:val=""/>
      <w:lvlJc w:val="left"/>
      <w:pPr>
        <w:ind w:left="0" w:firstLine="0"/>
      </w:pPr>
    </w:lvl>
    <w:lvl w:ilvl="1">
      <w:start w:val="1"/>
      <w:numFmt w:val="decimal"/>
      <w:lvlText w:val="%2."/>
      <w:lvlJc w:val="left"/>
      <w:pPr>
        <w:ind w:left="454" w:hanging="454"/>
      </w:pPr>
    </w:lvl>
    <w:lvl w:ilvl="2">
      <w:start w:val="1"/>
      <w:numFmt w:val="decimal"/>
      <w:lvlText w:val="%2.%3"/>
      <w:lvlJc w:val="left"/>
      <w:pPr>
        <w:ind w:left="567" w:hanging="567"/>
      </w:pPr>
    </w:lvl>
    <w:lvl w:ilvl="3">
      <w:start w:val="1"/>
      <w:numFmt w:val="decimal"/>
      <w:lvlText w:val="%2.%3.%4"/>
      <w:lvlJc w:val="left"/>
      <w:pPr>
        <w:ind w:left="709" w:hanging="709"/>
      </w:pPr>
    </w:lvl>
    <w:lvl w:ilvl="4">
      <w:start w:val="1"/>
      <w:numFmt w:val="decimal"/>
      <w:lvlText w:val="%2.%3.%4.%5"/>
      <w:lvlJc w:val="left"/>
      <w:pPr>
        <w:ind w:left="851" w:hanging="851"/>
      </w:pPr>
    </w:lvl>
    <w:lvl w:ilvl="5">
      <w:start w:val="1"/>
      <w:numFmt w:val="decimal"/>
      <w:lvlText w:val="%2.%3.%4.%5.%6"/>
      <w:lvlJc w:val="left"/>
      <w:pPr>
        <w:ind w:left="1152" w:hanging="1152"/>
      </w:pPr>
    </w:lvl>
    <w:lvl w:ilvl="6">
      <w:start w:val="1"/>
      <w:numFmt w:val="decimal"/>
      <w:lvlText w:val="%2.%3.%4.%5.%6.%7"/>
      <w:lvlJc w:val="left"/>
      <w:pPr>
        <w:ind w:left="1296" w:hanging="1296"/>
      </w:pPr>
    </w:lvl>
    <w:lvl w:ilvl="7">
      <w:start w:val="1"/>
      <w:numFmt w:val="decimal"/>
      <w:lvlText w:val="%2.%3.%4.%5.%6.%7.%8"/>
      <w:lvlJc w:val="left"/>
      <w:pPr>
        <w:ind w:left="1440" w:hanging="1440"/>
      </w:pPr>
    </w:lvl>
    <w:lvl w:ilvl="8">
      <w:start w:val="1"/>
      <w:numFmt w:val="decimal"/>
      <w:lvlText w:val="%2.%3.%4.%5.%6.%7.%8.%9"/>
      <w:lvlJc w:val="left"/>
      <w:pPr>
        <w:ind w:left="1584" w:hanging="1584"/>
      </w:pPr>
    </w:lvl>
  </w:abstractNum>
  <w:abstractNum w:abstractNumId="1" w15:restartNumberingAfterBreak="0">
    <w:nsid w:val="03102D24"/>
    <w:multiLevelType w:val="multilevel"/>
    <w:tmpl w:val="F0603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00326"/>
    <w:multiLevelType w:val="hybridMultilevel"/>
    <w:tmpl w:val="E1923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9C3670"/>
    <w:multiLevelType w:val="multilevel"/>
    <w:tmpl w:val="37A04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5914D1"/>
    <w:multiLevelType w:val="hybridMultilevel"/>
    <w:tmpl w:val="4F447B0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38359A"/>
    <w:multiLevelType w:val="multilevel"/>
    <w:tmpl w:val="16AE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F32486"/>
    <w:multiLevelType w:val="hybridMultilevel"/>
    <w:tmpl w:val="BB3A4D9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43F5A3B"/>
    <w:multiLevelType w:val="multilevel"/>
    <w:tmpl w:val="849A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AE1703"/>
    <w:multiLevelType w:val="hybridMultilevel"/>
    <w:tmpl w:val="E8BC2B14"/>
    <w:lvl w:ilvl="0" w:tplc="01100B3C">
      <w:start w:val="1"/>
      <w:numFmt w:val="bullet"/>
      <w:lvlText w:val=""/>
      <w:lvlJc w:val="left"/>
      <w:pPr>
        <w:tabs>
          <w:tab w:val="num" w:pos="720"/>
        </w:tabs>
        <w:ind w:left="720" w:hanging="360"/>
      </w:pPr>
      <w:rPr>
        <w:rFonts w:ascii="Symbol" w:hAnsi="Symbol" w:hint="default"/>
      </w:rPr>
    </w:lvl>
    <w:lvl w:ilvl="1" w:tplc="6ED8F84A" w:tentative="1">
      <w:start w:val="1"/>
      <w:numFmt w:val="bullet"/>
      <w:lvlText w:val=""/>
      <w:lvlJc w:val="left"/>
      <w:pPr>
        <w:tabs>
          <w:tab w:val="num" w:pos="1440"/>
        </w:tabs>
        <w:ind w:left="1440" w:hanging="360"/>
      </w:pPr>
      <w:rPr>
        <w:rFonts w:ascii="Symbol" w:hAnsi="Symbol" w:hint="default"/>
      </w:rPr>
    </w:lvl>
    <w:lvl w:ilvl="2" w:tplc="CEA87B84" w:tentative="1">
      <w:start w:val="1"/>
      <w:numFmt w:val="bullet"/>
      <w:lvlText w:val=""/>
      <w:lvlJc w:val="left"/>
      <w:pPr>
        <w:tabs>
          <w:tab w:val="num" w:pos="2160"/>
        </w:tabs>
        <w:ind w:left="2160" w:hanging="360"/>
      </w:pPr>
      <w:rPr>
        <w:rFonts w:ascii="Symbol" w:hAnsi="Symbol" w:hint="default"/>
      </w:rPr>
    </w:lvl>
    <w:lvl w:ilvl="3" w:tplc="FE268E48" w:tentative="1">
      <w:start w:val="1"/>
      <w:numFmt w:val="bullet"/>
      <w:lvlText w:val=""/>
      <w:lvlJc w:val="left"/>
      <w:pPr>
        <w:tabs>
          <w:tab w:val="num" w:pos="2880"/>
        </w:tabs>
        <w:ind w:left="2880" w:hanging="360"/>
      </w:pPr>
      <w:rPr>
        <w:rFonts w:ascii="Symbol" w:hAnsi="Symbol" w:hint="default"/>
      </w:rPr>
    </w:lvl>
    <w:lvl w:ilvl="4" w:tplc="08724044" w:tentative="1">
      <w:start w:val="1"/>
      <w:numFmt w:val="bullet"/>
      <w:lvlText w:val=""/>
      <w:lvlJc w:val="left"/>
      <w:pPr>
        <w:tabs>
          <w:tab w:val="num" w:pos="3600"/>
        </w:tabs>
        <w:ind w:left="3600" w:hanging="360"/>
      </w:pPr>
      <w:rPr>
        <w:rFonts w:ascii="Symbol" w:hAnsi="Symbol" w:hint="default"/>
      </w:rPr>
    </w:lvl>
    <w:lvl w:ilvl="5" w:tplc="DAD84C44" w:tentative="1">
      <w:start w:val="1"/>
      <w:numFmt w:val="bullet"/>
      <w:lvlText w:val=""/>
      <w:lvlJc w:val="left"/>
      <w:pPr>
        <w:tabs>
          <w:tab w:val="num" w:pos="4320"/>
        </w:tabs>
        <w:ind w:left="4320" w:hanging="360"/>
      </w:pPr>
      <w:rPr>
        <w:rFonts w:ascii="Symbol" w:hAnsi="Symbol" w:hint="default"/>
      </w:rPr>
    </w:lvl>
    <w:lvl w:ilvl="6" w:tplc="4F8E6E52" w:tentative="1">
      <w:start w:val="1"/>
      <w:numFmt w:val="bullet"/>
      <w:lvlText w:val=""/>
      <w:lvlJc w:val="left"/>
      <w:pPr>
        <w:tabs>
          <w:tab w:val="num" w:pos="5040"/>
        </w:tabs>
        <w:ind w:left="5040" w:hanging="360"/>
      </w:pPr>
      <w:rPr>
        <w:rFonts w:ascii="Symbol" w:hAnsi="Symbol" w:hint="default"/>
      </w:rPr>
    </w:lvl>
    <w:lvl w:ilvl="7" w:tplc="C65071D6" w:tentative="1">
      <w:start w:val="1"/>
      <w:numFmt w:val="bullet"/>
      <w:lvlText w:val=""/>
      <w:lvlJc w:val="left"/>
      <w:pPr>
        <w:tabs>
          <w:tab w:val="num" w:pos="5760"/>
        </w:tabs>
        <w:ind w:left="5760" w:hanging="360"/>
      </w:pPr>
      <w:rPr>
        <w:rFonts w:ascii="Symbol" w:hAnsi="Symbol" w:hint="default"/>
      </w:rPr>
    </w:lvl>
    <w:lvl w:ilvl="8" w:tplc="AD3C762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FB91437"/>
    <w:multiLevelType w:val="multilevel"/>
    <w:tmpl w:val="6122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A3AD0"/>
    <w:multiLevelType w:val="hybridMultilevel"/>
    <w:tmpl w:val="0470AA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8999717">
    <w:abstractNumId w:val="4"/>
  </w:num>
  <w:num w:numId="2" w16cid:durableId="1599168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9927067">
    <w:abstractNumId w:val="8"/>
  </w:num>
  <w:num w:numId="4" w16cid:durableId="759446488">
    <w:abstractNumId w:val="10"/>
  </w:num>
  <w:num w:numId="5" w16cid:durableId="1598293364">
    <w:abstractNumId w:val="6"/>
  </w:num>
  <w:num w:numId="6" w16cid:durableId="520165168">
    <w:abstractNumId w:val="5"/>
  </w:num>
  <w:num w:numId="7" w16cid:durableId="211618846">
    <w:abstractNumId w:val="7"/>
  </w:num>
  <w:num w:numId="8" w16cid:durableId="1336958250">
    <w:abstractNumId w:val="3"/>
  </w:num>
  <w:num w:numId="9" w16cid:durableId="1398429871">
    <w:abstractNumId w:val="9"/>
  </w:num>
  <w:num w:numId="10" w16cid:durableId="1588686168">
    <w:abstractNumId w:val="1"/>
  </w:num>
  <w:num w:numId="11" w16cid:durableId="13732701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9"/>
    <w:rsid w:val="00001FD6"/>
    <w:rsid w:val="00002087"/>
    <w:rsid w:val="00010DF0"/>
    <w:rsid w:val="00013B00"/>
    <w:rsid w:val="00024EAF"/>
    <w:rsid w:val="00026826"/>
    <w:rsid w:val="000326E8"/>
    <w:rsid w:val="0003410E"/>
    <w:rsid w:val="0003439C"/>
    <w:rsid w:val="000343DE"/>
    <w:rsid w:val="00035537"/>
    <w:rsid w:val="0004168F"/>
    <w:rsid w:val="00041920"/>
    <w:rsid w:val="00041E95"/>
    <w:rsid w:val="00043711"/>
    <w:rsid w:val="00044FCC"/>
    <w:rsid w:val="00047AE3"/>
    <w:rsid w:val="000504E1"/>
    <w:rsid w:val="00050BE4"/>
    <w:rsid w:val="000520D6"/>
    <w:rsid w:val="00052291"/>
    <w:rsid w:val="000525D9"/>
    <w:rsid w:val="00055186"/>
    <w:rsid w:val="000610B2"/>
    <w:rsid w:val="00061412"/>
    <w:rsid w:val="00063D8F"/>
    <w:rsid w:val="00063EEA"/>
    <w:rsid w:val="000656B2"/>
    <w:rsid w:val="00065F80"/>
    <w:rsid w:val="00066105"/>
    <w:rsid w:val="000664F2"/>
    <w:rsid w:val="0007094A"/>
    <w:rsid w:val="000724C0"/>
    <w:rsid w:val="00075245"/>
    <w:rsid w:val="00075AB6"/>
    <w:rsid w:val="000803D1"/>
    <w:rsid w:val="00082A53"/>
    <w:rsid w:val="00082DF7"/>
    <w:rsid w:val="00084FF2"/>
    <w:rsid w:val="00085C60"/>
    <w:rsid w:val="000969C5"/>
    <w:rsid w:val="000976D8"/>
    <w:rsid w:val="00097B56"/>
    <w:rsid w:val="000A76E1"/>
    <w:rsid w:val="000A7C6B"/>
    <w:rsid w:val="000B1665"/>
    <w:rsid w:val="000B26AD"/>
    <w:rsid w:val="000B3999"/>
    <w:rsid w:val="000B6AF9"/>
    <w:rsid w:val="000B6FE7"/>
    <w:rsid w:val="000C261F"/>
    <w:rsid w:val="000C28B7"/>
    <w:rsid w:val="000C6459"/>
    <w:rsid w:val="000D28BD"/>
    <w:rsid w:val="000D2C3D"/>
    <w:rsid w:val="000E0833"/>
    <w:rsid w:val="000E2129"/>
    <w:rsid w:val="000E316B"/>
    <w:rsid w:val="000E5E34"/>
    <w:rsid w:val="000E716E"/>
    <w:rsid w:val="000F393B"/>
    <w:rsid w:val="000F5B53"/>
    <w:rsid w:val="00100CCE"/>
    <w:rsid w:val="00101A91"/>
    <w:rsid w:val="00101C47"/>
    <w:rsid w:val="001020E7"/>
    <w:rsid w:val="001051E3"/>
    <w:rsid w:val="001149EE"/>
    <w:rsid w:val="0011604F"/>
    <w:rsid w:val="001166D6"/>
    <w:rsid w:val="001168C6"/>
    <w:rsid w:val="0011735F"/>
    <w:rsid w:val="00121672"/>
    <w:rsid w:val="00122D87"/>
    <w:rsid w:val="00122E1E"/>
    <w:rsid w:val="001311A2"/>
    <w:rsid w:val="0013628F"/>
    <w:rsid w:val="00144188"/>
    <w:rsid w:val="00147A18"/>
    <w:rsid w:val="00150826"/>
    <w:rsid w:val="00162269"/>
    <w:rsid w:val="00165854"/>
    <w:rsid w:val="00165A0F"/>
    <w:rsid w:val="00174C93"/>
    <w:rsid w:val="0018061F"/>
    <w:rsid w:val="00180AA3"/>
    <w:rsid w:val="00182BC0"/>
    <w:rsid w:val="00185B9D"/>
    <w:rsid w:val="001908A5"/>
    <w:rsid w:val="00194D1C"/>
    <w:rsid w:val="00195396"/>
    <w:rsid w:val="001A042A"/>
    <w:rsid w:val="001B376F"/>
    <w:rsid w:val="001B7BCE"/>
    <w:rsid w:val="001C092B"/>
    <w:rsid w:val="001C0CAE"/>
    <w:rsid w:val="001D65E0"/>
    <w:rsid w:val="001E370B"/>
    <w:rsid w:val="001E49A9"/>
    <w:rsid w:val="001E707E"/>
    <w:rsid w:val="001F1779"/>
    <w:rsid w:val="001F1E47"/>
    <w:rsid w:val="001F1EC6"/>
    <w:rsid w:val="001F4FD9"/>
    <w:rsid w:val="00200271"/>
    <w:rsid w:val="00202EFD"/>
    <w:rsid w:val="00203634"/>
    <w:rsid w:val="002073F6"/>
    <w:rsid w:val="00217086"/>
    <w:rsid w:val="00226D45"/>
    <w:rsid w:val="00227448"/>
    <w:rsid w:val="0023024E"/>
    <w:rsid w:val="00231603"/>
    <w:rsid w:val="002326E9"/>
    <w:rsid w:val="00244D17"/>
    <w:rsid w:val="00245333"/>
    <w:rsid w:val="0025151E"/>
    <w:rsid w:val="00252C0F"/>
    <w:rsid w:val="0025631F"/>
    <w:rsid w:val="0026357D"/>
    <w:rsid w:val="0027011D"/>
    <w:rsid w:val="00271958"/>
    <w:rsid w:val="00272153"/>
    <w:rsid w:val="002729D3"/>
    <w:rsid w:val="002813C4"/>
    <w:rsid w:val="00291770"/>
    <w:rsid w:val="00291B53"/>
    <w:rsid w:val="002937CD"/>
    <w:rsid w:val="00293B57"/>
    <w:rsid w:val="002A0B0A"/>
    <w:rsid w:val="002A3DF0"/>
    <w:rsid w:val="002A4E65"/>
    <w:rsid w:val="002A6204"/>
    <w:rsid w:val="002A6EB2"/>
    <w:rsid w:val="002A7882"/>
    <w:rsid w:val="002B312C"/>
    <w:rsid w:val="002B6721"/>
    <w:rsid w:val="002C05F8"/>
    <w:rsid w:val="002C2078"/>
    <w:rsid w:val="002C5E3A"/>
    <w:rsid w:val="002C72A4"/>
    <w:rsid w:val="002D1D6E"/>
    <w:rsid w:val="002D3258"/>
    <w:rsid w:val="002D49D7"/>
    <w:rsid w:val="002E03A1"/>
    <w:rsid w:val="002E1B7F"/>
    <w:rsid w:val="002F409D"/>
    <w:rsid w:val="002F4AAD"/>
    <w:rsid w:val="002F5BA6"/>
    <w:rsid w:val="003002BD"/>
    <w:rsid w:val="003048DC"/>
    <w:rsid w:val="0031623D"/>
    <w:rsid w:val="00320DC2"/>
    <w:rsid w:val="003261E8"/>
    <w:rsid w:val="00326CBF"/>
    <w:rsid w:val="00331036"/>
    <w:rsid w:val="00331A88"/>
    <w:rsid w:val="00332E1D"/>
    <w:rsid w:val="00337EE1"/>
    <w:rsid w:val="0034308B"/>
    <w:rsid w:val="00345E50"/>
    <w:rsid w:val="00351074"/>
    <w:rsid w:val="003521AB"/>
    <w:rsid w:val="003557A4"/>
    <w:rsid w:val="00356021"/>
    <w:rsid w:val="003567A6"/>
    <w:rsid w:val="00360E89"/>
    <w:rsid w:val="00361567"/>
    <w:rsid w:val="003625DE"/>
    <w:rsid w:val="00362C4C"/>
    <w:rsid w:val="00377067"/>
    <w:rsid w:val="00380AD5"/>
    <w:rsid w:val="00381721"/>
    <w:rsid w:val="00381EF2"/>
    <w:rsid w:val="00386E3B"/>
    <w:rsid w:val="0039087B"/>
    <w:rsid w:val="003926B1"/>
    <w:rsid w:val="00396A26"/>
    <w:rsid w:val="00397675"/>
    <w:rsid w:val="003A32BB"/>
    <w:rsid w:val="003A4BA4"/>
    <w:rsid w:val="003A513B"/>
    <w:rsid w:val="003A524D"/>
    <w:rsid w:val="003B04B5"/>
    <w:rsid w:val="003B2CCD"/>
    <w:rsid w:val="003B535F"/>
    <w:rsid w:val="003C02CA"/>
    <w:rsid w:val="003C4287"/>
    <w:rsid w:val="003C474D"/>
    <w:rsid w:val="003C4C68"/>
    <w:rsid w:val="003D301D"/>
    <w:rsid w:val="003D4134"/>
    <w:rsid w:val="003D600D"/>
    <w:rsid w:val="003D695A"/>
    <w:rsid w:val="003E0C8B"/>
    <w:rsid w:val="003E4415"/>
    <w:rsid w:val="003F03E5"/>
    <w:rsid w:val="003F31AD"/>
    <w:rsid w:val="003F35F3"/>
    <w:rsid w:val="003F4131"/>
    <w:rsid w:val="003F6510"/>
    <w:rsid w:val="003F6E67"/>
    <w:rsid w:val="003F757E"/>
    <w:rsid w:val="003F7BC3"/>
    <w:rsid w:val="00400E41"/>
    <w:rsid w:val="004037E3"/>
    <w:rsid w:val="00410263"/>
    <w:rsid w:val="00413C5E"/>
    <w:rsid w:val="00414344"/>
    <w:rsid w:val="00414CB1"/>
    <w:rsid w:val="00415591"/>
    <w:rsid w:val="00415F6D"/>
    <w:rsid w:val="00423FC5"/>
    <w:rsid w:val="004244EF"/>
    <w:rsid w:val="00425582"/>
    <w:rsid w:val="004271FC"/>
    <w:rsid w:val="00432E07"/>
    <w:rsid w:val="00434625"/>
    <w:rsid w:val="0044532F"/>
    <w:rsid w:val="004466A4"/>
    <w:rsid w:val="00447878"/>
    <w:rsid w:val="00451474"/>
    <w:rsid w:val="00456770"/>
    <w:rsid w:val="0046253E"/>
    <w:rsid w:val="004628B4"/>
    <w:rsid w:val="004645DD"/>
    <w:rsid w:val="00464B13"/>
    <w:rsid w:val="00467F19"/>
    <w:rsid w:val="0047407C"/>
    <w:rsid w:val="0047570B"/>
    <w:rsid w:val="00476534"/>
    <w:rsid w:val="004829E3"/>
    <w:rsid w:val="00482EA3"/>
    <w:rsid w:val="00482FC2"/>
    <w:rsid w:val="004842CD"/>
    <w:rsid w:val="0049031F"/>
    <w:rsid w:val="004923E1"/>
    <w:rsid w:val="004942EE"/>
    <w:rsid w:val="00495A38"/>
    <w:rsid w:val="004A32D4"/>
    <w:rsid w:val="004A3E22"/>
    <w:rsid w:val="004A517C"/>
    <w:rsid w:val="004A55B5"/>
    <w:rsid w:val="004A7C78"/>
    <w:rsid w:val="004B3138"/>
    <w:rsid w:val="004C0308"/>
    <w:rsid w:val="004C11D3"/>
    <w:rsid w:val="004C357E"/>
    <w:rsid w:val="004C45A0"/>
    <w:rsid w:val="004D763A"/>
    <w:rsid w:val="004E03F2"/>
    <w:rsid w:val="004E1E80"/>
    <w:rsid w:val="004E7358"/>
    <w:rsid w:val="004F278B"/>
    <w:rsid w:val="004F29FD"/>
    <w:rsid w:val="00504733"/>
    <w:rsid w:val="005052B8"/>
    <w:rsid w:val="00505DA2"/>
    <w:rsid w:val="00511F25"/>
    <w:rsid w:val="00513135"/>
    <w:rsid w:val="00515D19"/>
    <w:rsid w:val="00520150"/>
    <w:rsid w:val="00520DE1"/>
    <w:rsid w:val="005218D2"/>
    <w:rsid w:val="0052359D"/>
    <w:rsid w:val="00530696"/>
    <w:rsid w:val="00531972"/>
    <w:rsid w:val="00532980"/>
    <w:rsid w:val="0053338A"/>
    <w:rsid w:val="005423FA"/>
    <w:rsid w:val="005435FD"/>
    <w:rsid w:val="00545BE9"/>
    <w:rsid w:val="00546D94"/>
    <w:rsid w:val="00546FCC"/>
    <w:rsid w:val="005473ED"/>
    <w:rsid w:val="00550C4E"/>
    <w:rsid w:val="00557E21"/>
    <w:rsid w:val="00560AD5"/>
    <w:rsid w:val="00563414"/>
    <w:rsid w:val="00564A2D"/>
    <w:rsid w:val="005660F8"/>
    <w:rsid w:val="00567E4D"/>
    <w:rsid w:val="0057184F"/>
    <w:rsid w:val="0057394F"/>
    <w:rsid w:val="005739D0"/>
    <w:rsid w:val="00577056"/>
    <w:rsid w:val="0058515F"/>
    <w:rsid w:val="00586D7D"/>
    <w:rsid w:val="00587440"/>
    <w:rsid w:val="0059180A"/>
    <w:rsid w:val="00593AF2"/>
    <w:rsid w:val="005A04C0"/>
    <w:rsid w:val="005A653F"/>
    <w:rsid w:val="005B3EEE"/>
    <w:rsid w:val="005C0C33"/>
    <w:rsid w:val="005C38FE"/>
    <w:rsid w:val="005D0EA6"/>
    <w:rsid w:val="005D1A6E"/>
    <w:rsid w:val="005D50FA"/>
    <w:rsid w:val="005D65D1"/>
    <w:rsid w:val="005E071C"/>
    <w:rsid w:val="005F1AF7"/>
    <w:rsid w:val="005F7E39"/>
    <w:rsid w:val="00600913"/>
    <w:rsid w:val="00603D5C"/>
    <w:rsid w:val="00603DA2"/>
    <w:rsid w:val="00605F77"/>
    <w:rsid w:val="00612257"/>
    <w:rsid w:val="00617790"/>
    <w:rsid w:val="006251FB"/>
    <w:rsid w:val="006346F8"/>
    <w:rsid w:val="0063571C"/>
    <w:rsid w:val="006411A1"/>
    <w:rsid w:val="0064299D"/>
    <w:rsid w:val="0064317A"/>
    <w:rsid w:val="00643665"/>
    <w:rsid w:val="00643E2F"/>
    <w:rsid w:val="00650B35"/>
    <w:rsid w:val="00653ACD"/>
    <w:rsid w:val="00654B94"/>
    <w:rsid w:val="00654F60"/>
    <w:rsid w:val="0066054C"/>
    <w:rsid w:val="00663652"/>
    <w:rsid w:val="00666875"/>
    <w:rsid w:val="006722B3"/>
    <w:rsid w:val="006802C4"/>
    <w:rsid w:val="00680451"/>
    <w:rsid w:val="00680CD5"/>
    <w:rsid w:val="00680FC4"/>
    <w:rsid w:val="00686B89"/>
    <w:rsid w:val="00687354"/>
    <w:rsid w:val="00691190"/>
    <w:rsid w:val="006938AF"/>
    <w:rsid w:val="0069446E"/>
    <w:rsid w:val="00694B3D"/>
    <w:rsid w:val="00695556"/>
    <w:rsid w:val="00695AE7"/>
    <w:rsid w:val="006A655B"/>
    <w:rsid w:val="006A76FC"/>
    <w:rsid w:val="006B4186"/>
    <w:rsid w:val="006B514C"/>
    <w:rsid w:val="006C6E5E"/>
    <w:rsid w:val="006D0C7A"/>
    <w:rsid w:val="006D1090"/>
    <w:rsid w:val="006D2F61"/>
    <w:rsid w:val="006D56A5"/>
    <w:rsid w:val="006D59E1"/>
    <w:rsid w:val="006D68A7"/>
    <w:rsid w:val="006E656C"/>
    <w:rsid w:val="006E7480"/>
    <w:rsid w:val="006F2722"/>
    <w:rsid w:val="006F3FE9"/>
    <w:rsid w:val="006F4033"/>
    <w:rsid w:val="007032C5"/>
    <w:rsid w:val="00703C53"/>
    <w:rsid w:val="007077FC"/>
    <w:rsid w:val="007120C4"/>
    <w:rsid w:val="007178CA"/>
    <w:rsid w:val="007221BD"/>
    <w:rsid w:val="00723B02"/>
    <w:rsid w:val="00723C02"/>
    <w:rsid w:val="00726577"/>
    <w:rsid w:val="00727A23"/>
    <w:rsid w:val="00730811"/>
    <w:rsid w:val="0073304F"/>
    <w:rsid w:val="00734D04"/>
    <w:rsid w:val="007357B9"/>
    <w:rsid w:val="00736EB1"/>
    <w:rsid w:val="00741C4D"/>
    <w:rsid w:val="00742A8A"/>
    <w:rsid w:val="007458D5"/>
    <w:rsid w:val="00753DF9"/>
    <w:rsid w:val="00754431"/>
    <w:rsid w:val="00757BF1"/>
    <w:rsid w:val="007647CA"/>
    <w:rsid w:val="007665D6"/>
    <w:rsid w:val="007701C8"/>
    <w:rsid w:val="00776117"/>
    <w:rsid w:val="007767C1"/>
    <w:rsid w:val="007811CF"/>
    <w:rsid w:val="007822C5"/>
    <w:rsid w:val="00786B04"/>
    <w:rsid w:val="00793E34"/>
    <w:rsid w:val="0079486F"/>
    <w:rsid w:val="007A132A"/>
    <w:rsid w:val="007A3548"/>
    <w:rsid w:val="007B0634"/>
    <w:rsid w:val="007C259A"/>
    <w:rsid w:val="007C3A8D"/>
    <w:rsid w:val="007C5212"/>
    <w:rsid w:val="007C714A"/>
    <w:rsid w:val="007D2D13"/>
    <w:rsid w:val="007D4977"/>
    <w:rsid w:val="007D59A1"/>
    <w:rsid w:val="007E2DCB"/>
    <w:rsid w:val="007E408C"/>
    <w:rsid w:val="007F1BE2"/>
    <w:rsid w:val="007F38F0"/>
    <w:rsid w:val="008020FA"/>
    <w:rsid w:val="00805A62"/>
    <w:rsid w:val="008119D5"/>
    <w:rsid w:val="008126F8"/>
    <w:rsid w:val="00813AF5"/>
    <w:rsid w:val="00813E55"/>
    <w:rsid w:val="00820096"/>
    <w:rsid w:val="008214D5"/>
    <w:rsid w:val="008220CC"/>
    <w:rsid w:val="00832DF8"/>
    <w:rsid w:val="0083374A"/>
    <w:rsid w:val="0083648F"/>
    <w:rsid w:val="00837EEE"/>
    <w:rsid w:val="008408FC"/>
    <w:rsid w:val="008432DD"/>
    <w:rsid w:val="0085518F"/>
    <w:rsid w:val="00857770"/>
    <w:rsid w:val="00861638"/>
    <w:rsid w:val="00862225"/>
    <w:rsid w:val="008642D9"/>
    <w:rsid w:val="00870FEA"/>
    <w:rsid w:val="00872484"/>
    <w:rsid w:val="00874878"/>
    <w:rsid w:val="00886A18"/>
    <w:rsid w:val="0089092D"/>
    <w:rsid w:val="00893680"/>
    <w:rsid w:val="00893F18"/>
    <w:rsid w:val="00894817"/>
    <w:rsid w:val="008A7591"/>
    <w:rsid w:val="008A7B03"/>
    <w:rsid w:val="008B48EB"/>
    <w:rsid w:val="008B61E3"/>
    <w:rsid w:val="008C18EB"/>
    <w:rsid w:val="008C3303"/>
    <w:rsid w:val="008C389F"/>
    <w:rsid w:val="008C4378"/>
    <w:rsid w:val="008D0CDD"/>
    <w:rsid w:val="008D3809"/>
    <w:rsid w:val="008D3DD1"/>
    <w:rsid w:val="008D3E43"/>
    <w:rsid w:val="008D4FB9"/>
    <w:rsid w:val="008E3113"/>
    <w:rsid w:val="008E5880"/>
    <w:rsid w:val="008E6AFF"/>
    <w:rsid w:val="008F1875"/>
    <w:rsid w:val="008F2D1B"/>
    <w:rsid w:val="008F3C94"/>
    <w:rsid w:val="008F4B9B"/>
    <w:rsid w:val="008F6330"/>
    <w:rsid w:val="008F659A"/>
    <w:rsid w:val="00900222"/>
    <w:rsid w:val="0090052C"/>
    <w:rsid w:val="0090184E"/>
    <w:rsid w:val="00901B0C"/>
    <w:rsid w:val="00903F1D"/>
    <w:rsid w:val="0090520B"/>
    <w:rsid w:val="00906B71"/>
    <w:rsid w:val="00907A5B"/>
    <w:rsid w:val="00910537"/>
    <w:rsid w:val="00914451"/>
    <w:rsid w:val="0091509B"/>
    <w:rsid w:val="0092438C"/>
    <w:rsid w:val="00925740"/>
    <w:rsid w:val="00937CB7"/>
    <w:rsid w:val="00940790"/>
    <w:rsid w:val="00940DE9"/>
    <w:rsid w:val="00941391"/>
    <w:rsid w:val="00946888"/>
    <w:rsid w:val="0095650A"/>
    <w:rsid w:val="009574E5"/>
    <w:rsid w:val="009625BB"/>
    <w:rsid w:val="00962F97"/>
    <w:rsid w:val="00965A1E"/>
    <w:rsid w:val="00967DC6"/>
    <w:rsid w:val="00983364"/>
    <w:rsid w:val="009924D1"/>
    <w:rsid w:val="009933F0"/>
    <w:rsid w:val="00995DF7"/>
    <w:rsid w:val="009A0D88"/>
    <w:rsid w:val="009A1B1C"/>
    <w:rsid w:val="009A3667"/>
    <w:rsid w:val="009A4E4D"/>
    <w:rsid w:val="009A74F0"/>
    <w:rsid w:val="009B0BA5"/>
    <w:rsid w:val="009B2DEE"/>
    <w:rsid w:val="009B6B9A"/>
    <w:rsid w:val="009C4A54"/>
    <w:rsid w:val="009D79D5"/>
    <w:rsid w:val="009E193E"/>
    <w:rsid w:val="009E47AB"/>
    <w:rsid w:val="009E4802"/>
    <w:rsid w:val="009E678F"/>
    <w:rsid w:val="009F2499"/>
    <w:rsid w:val="009F252F"/>
    <w:rsid w:val="00A00FC1"/>
    <w:rsid w:val="00A04AB7"/>
    <w:rsid w:val="00A061C0"/>
    <w:rsid w:val="00A06B03"/>
    <w:rsid w:val="00A13734"/>
    <w:rsid w:val="00A1409F"/>
    <w:rsid w:val="00A14BBB"/>
    <w:rsid w:val="00A1633B"/>
    <w:rsid w:val="00A2210B"/>
    <w:rsid w:val="00A24399"/>
    <w:rsid w:val="00A30B5F"/>
    <w:rsid w:val="00A33C6A"/>
    <w:rsid w:val="00A357AD"/>
    <w:rsid w:val="00A36394"/>
    <w:rsid w:val="00A373D0"/>
    <w:rsid w:val="00A40210"/>
    <w:rsid w:val="00A4361D"/>
    <w:rsid w:val="00A44713"/>
    <w:rsid w:val="00A44A09"/>
    <w:rsid w:val="00A47531"/>
    <w:rsid w:val="00A57A5D"/>
    <w:rsid w:val="00A600B4"/>
    <w:rsid w:val="00A623FF"/>
    <w:rsid w:val="00A630F3"/>
    <w:rsid w:val="00A71247"/>
    <w:rsid w:val="00A73C21"/>
    <w:rsid w:val="00A83F45"/>
    <w:rsid w:val="00A85AA1"/>
    <w:rsid w:val="00A926A7"/>
    <w:rsid w:val="00A9358D"/>
    <w:rsid w:val="00A95B5E"/>
    <w:rsid w:val="00AA2815"/>
    <w:rsid w:val="00AA6761"/>
    <w:rsid w:val="00AB0752"/>
    <w:rsid w:val="00AB0B20"/>
    <w:rsid w:val="00AB542B"/>
    <w:rsid w:val="00AB61ED"/>
    <w:rsid w:val="00AB6C3A"/>
    <w:rsid w:val="00AB6EF0"/>
    <w:rsid w:val="00AB7C9F"/>
    <w:rsid w:val="00AC7991"/>
    <w:rsid w:val="00AD026A"/>
    <w:rsid w:val="00AE3428"/>
    <w:rsid w:val="00AE42F7"/>
    <w:rsid w:val="00AE4550"/>
    <w:rsid w:val="00AE6AEB"/>
    <w:rsid w:val="00AF0DCB"/>
    <w:rsid w:val="00AF4A39"/>
    <w:rsid w:val="00AF5373"/>
    <w:rsid w:val="00AF547E"/>
    <w:rsid w:val="00AF54F7"/>
    <w:rsid w:val="00B04CE4"/>
    <w:rsid w:val="00B11211"/>
    <w:rsid w:val="00B130D3"/>
    <w:rsid w:val="00B13308"/>
    <w:rsid w:val="00B25931"/>
    <w:rsid w:val="00B315AD"/>
    <w:rsid w:val="00B476BD"/>
    <w:rsid w:val="00B5142C"/>
    <w:rsid w:val="00B51EF4"/>
    <w:rsid w:val="00B5355A"/>
    <w:rsid w:val="00B549C1"/>
    <w:rsid w:val="00B559B7"/>
    <w:rsid w:val="00B568A8"/>
    <w:rsid w:val="00B704F0"/>
    <w:rsid w:val="00B72C8C"/>
    <w:rsid w:val="00B7347F"/>
    <w:rsid w:val="00B76D30"/>
    <w:rsid w:val="00B81E81"/>
    <w:rsid w:val="00B82BFE"/>
    <w:rsid w:val="00B84AF3"/>
    <w:rsid w:val="00B85EEF"/>
    <w:rsid w:val="00B87A86"/>
    <w:rsid w:val="00B9506E"/>
    <w:rsid w:val="00BA03DB"/>
    <w:rsid w:val="00BA19B7"/>
    <w:rsid w:val="00BA24A1"/>
    <w:rsid w:val="00BA5845"/>
    <w:rsid w:val="00BA73A4"/>
    <w:rsid w:val="00BB10FA"/>
    <w:rsid w:val="00BB2679"/>
    <w:rsid w:val="00BB2E49"/>
    <w:rsid w:val="00BB5443"/>
    <w:rsid w:val="00BC29BC"/>
    <w:rsid w:val="00BC5632"/>
    <w:rsid w:val="00BC7B60"/>
    <w:rsid w:val="00BD108D"/>
    <w:rsid w:val="00BD27CF"/>
    <w:rsid w:val="00BD7769"/>
    <w:rsid w:val="00BE06E1"/>
    <w:rsid w:val="00BE0892"/>
    <w:rsid w:val="00BE2AD4"/>
    <w:rsid w:val="00BE4E3C"/>
    <w:rsid w:val="00BE55D2"/>
    <w:rsid w:val="00BF1DF4"/>
    <w:rsid w:val="00BF42AD"/>
    <w:rsid w:val="00C00112"/>
    <w:rsid w:val="00C02985"/>
    <w:rsid w:val="00C03646"/>
    <w:rsid w:val="00C03CE4"/>
    <w:rsid w:val="00C1568F"/>
    <w:rsid w:val="00C15749"/>
    <w:rsid w:val="00C24242"/>
    <w:rsid w:val="00C2473C"/>
    <w:rsid w:val="00C247B5"/>
    <w:rsid w:val="00C26A79"/>
    <w:rsid w:val="00C27490"/>
    <w:rsid w:val="00C32EBC"/>
    <w:rsid w:val="00C35269"/>
    <w:rsid w:val="00C35512"/>
    <w:rsid w:val="00C370F2"/>
    <w:rsid w:val="00C37BFE"/>
    <w:rsid w:val="00C40734"/>
    <w:rsid w:val="00C40A7C"/>
    <w:rsid w:val="00C40CF1"/>
    <w:rsid w:val="00C40E8B"/>
    <w:rsid w:val="00C55314"/>
    <w:rsid w:val="00C57459"/>
    <w:rsid w:val="00C57947"/>
    <w:rsid w:val="00C602E6"/>
    <w:rsid w:val="00C60E9C"/>
    <w:rsid w:val="00C63956"/>
    <w:rsid w:val="00C6638F"/>
    <w:rsid w:val="00C67FD9"/>
    <w:rsid w:val="00C72070"/>
    <w:rsid w:val="00C72CFC"/>
    <w:rsid w:val="00C74754"/>
    <w:rsid w:val="00C74EA6"/>
    <w:rsid w:val="00C7533B"/>
    <w:rsid w:val="00C76079"/>
    <w:rsid w:val="00C824DF"/>
    <w:rsid w:val="00C829DC"/>
    <w:rsid w:val="00C8672C"/>
    <w:rsid w:val="00C868FD"/>
    <w:rsid w:val="00C91A29"/>
    <w:rsid w:val="00C92359"/>
    <w:rsid w:val="00C93FAF"/>
    <w:rsid w:val="00CA15A5"/>
    <w:rsid w:val="00CA6CCE"/>
    <w:rsid w:val="00CB3C63"/>
    <w:rsid w:val="00CC2D5B"/>
    <w:rsid w:val="00CC361A"/>
    <w:rsid w:val="00CC392E"/>
    <w:rsid w:val="00CC3C8E"/>
    <w:rsid w:val="00CC4999"/>
    <w:rsid w:val="00CC5172"/>
    <w:rsid w:val="00CC7CCE"/>
    <w:rsid w:val="00CD1DE5"/>
    <w:rsid w:val="00CD41D0"/>
    <w:rsid w:val="00CD488F"/>
    <w:rsid w:val="00CD7CF8"/>
    <w:rsid w:val="00CE01AF"/>
    <w:rsid w:val="00CE05E4"/>
    <w:rsid w:val="00CE2EB8"/>
    <w:rsid w:val="00CE553B"/>
    <w:rsid w:val="00D07BD4"/>
    <w:rsid w:val="00D12EF3"/>
    <w:rsid w:val="00D1454D"/>
    <w:rsid w:val="00D1699B"/>
    <w:rsid w:val="00D17B3E"/>
    <w:rsid w:val="00D34612"/>
    <w:rsid w:val="00D4076A"/>
    <w:rsid w:val="00D40937"/>
    <w:rsid w:val="00D41486"/>
    <w:rsid w:val="00D506A4"/>
    <w:rsid w:val="00D5486A"/>
    <w:rsid w:val="00D626F6"/>
    <w:rsid w:val="00D6314F"/>
    <w:rsid w:val="00D654DB"/>
    <w:rsid w:val="00D66A37"/>
    <w:rsid w:val="00D72939"/>
    <w:rsid w:val="00D73248"/>
    <w:rsid w:val="00D74E87"/>
    <w:rsid w:val="00D756C6"/>
    <w:rsid w:val="00D75AB5"/>
    <w:rsid w:val="00D760D1"/>
    <w:rsid w:val="00D76CBE"/>
    <w:rsid w:val="00D775C9"/>
    <w:rsid w:val="00D809D0"/>
    <w:rsid w:val="00D80AE7"/>
    <w:rsid w:val="00D828BA"/>
    <w:rsid w:val="00D83658"/>
    <w:rsid w:val="00D8641B"/>
    <w:rsid w:val="00D929CC"/>
    <w:rsid w:val="00D94485"/>
    <w:rsid w:val="00D94C9B"/>
    <w:rsid w:val="00DA4DDE"/>
    <w:rsid w:val="00DB13F6"/>
    <w:rsid w:val="00DB41E1"/>
    <w:rsid w:val="00DB4373"/>
    <w:rsid w:val="00DB4779"/>
    <w:rsid w:val="00DC027D"/>
    <w:rsid w:val="00DC0F61"/>
    <w:rsid w:val="00DC490B"/>
    <w:rsid w:val="00DC64C2"/>
    <w:rsid w:val="00DD05D4"/>
    <w:rsid w:val="00DD0E17"/>
    <w:rsid w:val="00DD664F"/>
    <w:rsid w:val="00DE27ED"/>
    <w:rsid w:val="00DE3D83"/>
    <w:rsid w:val="00DE44DC"/>
    <w:rsid w:val="00DE459E"/>
    <w:rsid w:val="00DE7501"/>
    <w:rsid w:val="00DF13EA"/>
    <w:rsid w:val="00DF2C2B"/>
    <w:rsid w:val="00E02284"/>
    <w:rsid w:val="00E075C7"/>
    <w:rsid w:val="00E248E3"/>
    <w:rsid w:val="00E25BC8"/>
    <w:rsid w:val="00E260D7"/>
    <w:rsid w:val="00E30A75"/>
    <w:rsid w:val="00E3245E"/>
    <w:rsid w:val="00E3273D"/>
    <w:rsid w:val="00E33279"/>
    <w:rsid w:val="00E3732E"/>
    <w:rsid w:val="00E40EB7"/>
    <w:rsid w:val="00E43973"/>
    <w:rsid w:val="00E4656D"/>
    <w:rsid w:val="00E52B3B"/>
    <w:rsid w:val="00E56D66"/>
    <w:rsid w:val="00E575C0"/>
    <w:rsid w:val="00E63C46"/>
    <w:rsid w:val="00E713AD"/>
    <w:rsid w:val="00E724B3"/>
    <w:rsid w:val="00E74905"/>
    <w:rsid w:val="00E76209"/>
    <w:rsid w:val="00E778C0"/>
    <w:rsid w:val="00E80EB7"/>
    <w:rsid w:val="00E80FAC"/>
    <w:rsid w:val="00E87D37"/>
    <w:rsid w:val="00E917F1"/>
    <w:rsid w:val="00E944A7"/>
    <w:rsid w:val="00E94CE6"/>
    <w:rsid w:val="00EA535B"/>
    <w:rsid w:val="00EA7890"/>
    <w:rsid w:val="00EB78F8"/>
    <w:rsid w:val="00EB7D33"/>
    <w:rsid w:val="00EC19D2"/>
    <w:rsid w:val="00EC4920"/>
    <w:rsid w:val="00EC699D"/>
    <w:rsid w:val="00ED054F"/>
    <w:rsid w:val="00ED06A2"/>
    <w:rsid w:val="00ED0B5C"/>
    <w:rsid w:val="00ED3AEC"/>
    <w:rsid w:val="00ED41DA"/>
    <w:rsid w:val="00ED6072"/>
    <w:rsid w:val="00ED6ED3"/>
    <w:rsid w:val="00EE0DA4"/>
    <w:rsid w:val="00EE0DD2"/>
    <w:rsid w:val="00EE2BBB"/>
    <w:rsid w:val="00EE7B42"/>
    <w:rsid w:val="00EF77AA"/>
    <w:rsid w:val="00F02066"/>
    <w:rsid w:val="00F02081"/>
    <w:rsid w:val="00F028FF"/>
    <w:rsid w:val="00F02EB3"/>
    <w:rsid w:val="00F07385"/>
    <w:rsid w:val="00F11A38"/>
    <w:rsid w:val="00F136D8"/>
    <w:rsid w:val="00F139EC"/>
    <w:rsid w:val="00F140E6"/>
    <w:rsid w:val="00F15560"/>
    <w:rsid w:val="00F15AE5"/>
    <w:rsid w:val="00F20ECB"/>
    <w:rsid w:val="00F21F57"/>
    <w:rsid w:val="00F25CA2"/>
    <w:rsid w:val="00F25E49"/>
    <w:rsid w:val="00F268B9"/>
    <w:rsid w:val="00F26C2E"/>
    <w:rsid w:val="00F34D1C"/>
    <w:rsid w:val="00F35C18"/>
    <w:rsid w:val="00F363C4"/>
    <w:rsid w:val="00F40146"/>
    <w:rsid w:val="00F41418"/>
    <w:rsid w:val="00F41562"/>
    <w:rsid w:val="00F449D4"/>
    <w:rsid w:val="00F456A4"/>
    <w:rsid w:val="00F46B2B"/>
    <w:rsid w:val="00F51B99"/>
    <w:rsid w:val="00F5721C"/>
    <w:rsid w:val="00F62497"/>
    <w:rsid w:val="00F81E49"/>
    <w:rsid w:val="00F8424F"/>
    <w:rsid w:val="00F8602F"/>
    <w:rsid w:val="00F87B40"/>
    <w:rsid w:val="00F901E5"/>
    <w:rsid w:val="00F93FCE"/>
    <w:rsid w:val="00F94F6F"/>
    <w:rsid w:val="00FA27D5"/>
    <w:rsid w:val="00FA416E"/>
    <w:rsid w:val="00FA4C39"/>
    <w:rsid w:val="00FA6DAF"/>
    <w:rsid w:val="00FB02BE"/>
    <w:rsid w:val="00FB1402"/>
    <w:rsid w:val="00FB14EE"/>
    <w:rsid w:val="00FC0709"/>
    <w:rsid w:val="00FC2A87"/>
    <w:rsid w:val="00FC2D00"/>
    <w:rsid w:val="00FC31AE"/>
    <w:rsid w:val="00FC360A"/>
    <w:rsid w:val="00FD1893"/>
    <w:rsid w:val="00FD5378"/>
    <w:rsid w:val="00FD56C2"/>
    <w:rsid w:val="00FD6335"/>
    <w:rsid w:val="00FE0028"/>
    <w:rsid w:val="00FE169B"/>
    <w:rsid w:val="00FE26D6"/>
    <w:rsid w:val="00FE3F49"/>
    <w:rsid w:val="00FE6F72"/>
    <w:rsid w:val="00FF5B8B"/>
    <w:rsid w:val="00FF77F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1613"/>
  <w15:chartTrackingRefBased/>
  <w15:docId w15:val="{467627D3-57F9-4542-9AAC-C4DAD984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C49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C49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C499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C499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C499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C49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C49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C49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C49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C499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C499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C499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C499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C499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C49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C49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C49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C49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C49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C49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C49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C49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C49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C4999"/>
    <w:rPr>
      <w:i/>
      <w:iCs/>
      <w:color w:val="404040" w:themeColor="text1" w:themeTint="BF"/>
    </w:rPr>
  </w:style>
  <w:style w:type="paragraph" w:styleId="Paragrafoelenco">
    <w:name w:val="List Paragraph"/>
    <w:basedOn w:val="Normale"/>
    <w:uiPriority w:val="34"/>
    <w:qFormat/>
    <w:rsid w:val="00CC4999"/>
    <w:pPr>
      <w:ind w:left="720"/>
      <w:contextualSpacing/>
    </w:pPr>
  </w:style>
  <w:style w:type="character" w:styleId="Enfasiintensa">
    <w:name w:val="Intense Emphasis"/>
    <w:basedOn w:val="Carpredefinitoparagrafo"/>
    <w:uiPriority w:val="21"/>
    <w:qFormat/>
    <w:rsid w:val="00CC4999"/>
    <w:rPr>
      <w:i/>
      <w:iCs/>
      <w:color w:val="2F5496" w:themeColor="accent1" w:themeShade="BF"/>
    </w:rPr>
  </w:style>
  <w:style w:type="paragraph" w:styleId="Citazioneintensa">
    <w:name w:val="Intense Quote"/>
    <w:basedOn w:val="Normale"/>
    <w:next w:val="Normale"/>
    <w:link w:val="CitazioneintensaCarattere"/>
    <w:uiPriority w:val="30"/>
    <w:qFormat/>
    <w:rsid w:val="00CC4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C4999"/>
    <w:rPr>
      <w:i/>
      <w:iCs/>
      <w:color w:val="2F5496" w:themeColor="accent1" w:themeShade="BF"/>
    </w:rPr>
  </w:style>
  <w:style w:type="character" w:styleId="Riferimentointenso">
    <w:name w:val="Intense Reference"/>
    <w:basedOn w:val="Carpredefinitoparagrafo"/>
    <w:uiPriority w:val="32"/>
    <w:qFormat/>
    <w:rsid w:val="00CC4999"/>
    <w:rPr>
      <w:b/>
      <w:bCs/>
      <w:smallCaps/>
      <w:color w:val="2F5496" w:themeColor="accent1" w:themeShade="BF"/>
      <w:spacing w:val="5"/>
    </w:rPr>
  </w:style>
  <w:style w:type="paragraph" w:styleId="Intestazione">
    <w:name w:val="header"/>
    <w:basedOn w:val="Normale"/>
    <w:link w:val="IntestazioneCarattere"/>
    <w:uiPriority w:val="99"/>
    <w:unhideWhenUsed/>
    <w:rsid w:val="00CC49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4999"/>
  </w:style>
  <w:style w:type="paragraph" w:styleId="Pidipagina">
    <w:name w:val="footer"/>
    <w:basedOn w:val="Normale"/>
    <w:link w:val="PidipaginaCarattere"/>
    <w:uiPriority w:val="99"/>
    <w:unhideWhenUsed/>
    <w:rsid w:val="00CC49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4999"/>
  </w:style>
  <w:style w:type="character" w:styleId="Collegamentoipertestuale">
    <w:name w:val="Hyperlink"/>
    <w:basedOn w:val="Carpredefinitoparagrafo"/>
    <w:uiPriority w:val="99"/>
    <w:unhideWhenUsed/>
    <w:rsid w:val="00CC4999"/>
    <w:rPr>
      <w:color w:val="0563C1" w:themeColor="hyperlink"/>
      <w:u w:val="single"/>
    </w:rPr>
  </w:style>
  <w:style w:type="table" w:styleId="Grigliatabella">
    <w:name w:val="Table Grid"/>
    <w:basedOn w:val="Tabellanormale"/>
    <w:uiPriority w:val="39"/>
    <w:rsid w:val="00CC4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CC4999"/>
    <w:pPr>
      <w:spacing w:after="0" w:line="240" w:lineRule="auto"/>
    </w:pPr>
  </w:style>
  <w:style w:type="character" w:styleId="Menzionenonrisolta">
    <w:name w:val="Unresolved Mention"/>
    <w:basedOn w:val="Carpredefinitoparagrafo"/>
    <w:uiPriority w:val="99"/>
    <w:semiHidden/>
    <w:unhideWhenUsed/>
    <w:rsid w:val="00361567"/>
    <w:rPr>
      <w:color w:val="605E5C"/>
      <w:shd w:val="clear" w:color="auto" w:fill="E1DFDD"/>
    </w:rPr>
  </w:style>
  <w:style w:type="paragraph" w:styleId="NormaleWeb">
    <w:name w:val="Normal (Web)"/>
    <w:basedOn w:val="Normale"/>
    <w:uiPriority w:val="99"/>
    <w:semiHidden/>
    <w:unhideWhenUsed/>
    <w:rsid w:val="003C474D"/>
    <w:rPr>
      <w:rFonts w:ascii="Times New Roman" w:hAnsi="Times New Roman" w:cs="Times New Roman"/>
      <w:sz w:val="24"/>
      <w:szCs w:val="24"/>
    </w:rPr>
  </w:style>
  <w:style w:type="character" w:styleId="Rimandocommento">
    <w:name w:val="annotation reference"/>
    <w:basedOn w:val="Carpredefinitoparagrafo"/>
    <w:uiPriority w:val="99"/>
    <w:semiHidden/>
    <w:unhideWhenUsed/>
    <w:rsid w:val="00CA15A5"/>
    <w:rPr>
      <w:sz w:val="16"/>
      <w:szCs w:val="16"/>
    </w:rPr>
  </w:style>
  <w:style w:type="paragraph" w:styleId="Testocommento">
    <w:name w:val="annotation text"/>
    <w:basedOn w:val="Normale"/>
    <w:link w:val="TestocommentoCarattere"/>
    <w:uiPriority w:val="99"/>
    <w:semiHidden/>
    <w:unhideWhenUsed/>
    <w:rsid w:val="00CA15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A15A5"/>
    <w:rPr>
      <w:sz w:val="20"/>
      <w:szCs w:val="20"/>
    </w:rPr>
  </w:style>
  <w:style w:type="paragraph" w:styleId="Soggettocommento">
    <w:name w:val="annotation subject"/>
    <w:basedOn w:val="Testocommento"/>
    <w:next w:val="Testocommento"/>
    <w:link w:val="SoggettocommentoCarattere"/>
    <w:uiPriority w:val="99"/>
    <w:semiHidden/>
    <w:unhideWhenUsed/>
    <w:rsid w:val="00CA15A5"/>
    <w:rPr>
      <w:b/>
      <w:bCs/>
    </w:rPr>
  </w:style>
  <w:style w:type="character" w:customStyle="1" w:styleId="SoggettocommentoCarattere">
    <w:name w:val="Soggetto commento Carattere"/>
    <w:basedOn w:val="TestocommentoCarattere"/>
    <w:link w:val="Soggettocommento"/>
    <w:uiPriority w:val="99"/>
    <w:semiHidden/>
    <w:rsid w:val="00CA1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36051">
      <w:bodyDiv w:val="1"/>
      <w:marLeft w:val="0"/>
      <w:marRight w:val="0"/>
      <w:marTop w:val="0"/>
      <w:marBottom w:val="0"/>
      <w:divBdr>
        <w:top w:val="none" w:sz="0" w:space="0" w:color="auto"/>
        <w:left w:val="none" w:sz="0" w:space="0" w:color="auto"/>
        <w:bottom w:val="none" w:sz="0" w:space="0" w:color="auto"/>
        <w:right w:val="none" w:sz="0" w:space="0" w:color="auto"/>
      </w:divBdr>
    </w:div>
    <w:div w:id="483622404">
      <w:bodyDiv w:val="1"/>
      <w:marLeft w:val="0"/>
      <w:marRight w:val="0"/>
      <w:marTop w:val="0"/>
      <w:marBottom w:val="0"/>
      <w:divBdr>
        <w:top w:val="none" w:sz="0" w:space="0" w:color="auto"/>
        <w:left w:val="none" w:sz="0" w:space="0" w:color="auto"/>
        <w:bottom w:val="none" w:sz="0" w:space="0" w:color="auto"/>
        <w:right w:val="none" w:sz="0" w:space="0" w:color="auto"/>
      </w:divBdr>
    </w:div>
    <w:div w:id="491140205">
      <w:bodyDiv w:val="1"/>
      <w:marLeft w:val="0"/>
      <w:marRight w:val="0"/>
      <w:marTop w:val="0"/>
      <w:marBottom w:val="0"/>
      <w:divBdr>
        <w:top w:val="none" w:sz="0" w:space="0" w:color="auto"/>
        <w:left w:val="none" w:sz="0" w:space="0" w:color="auto"/>
        <w:bottom w:val="none" w:sz="0" w:space="0" w:color="auto"/>
        <w:right w:val="none" w:sz="0" w:space="0" w:color="auto"/>
      </w:divBdr>
    </w:div>
    <w:div w:id="634872003">
      <w:bodyDiv w:val="1"/>
      <w:marLeft w:val="0"/>
      <w:marRight w:val="0"/>
      <w:marTop w:val="0"/>
      <w:marBottom w:val="0"/>
      <w:divBdr>
        <w:top w:val="none" w:sz="0" w:space="0" w:color="auto"/>
        <w:left w:val="none" w:sz="0" w:space="0" w:color="auto"/>
        <w:bottom w:val="none" w:sz="0" w:space="0" w:color="auto"/>
        <w:right w:val="none" w:sz="0" w:space="0" w:color="auto"/>
      </w:divBdr>
    </w:div>
    <w:div w:id="720640902">
      <w:bodyDiv w:val="1"/>
      <w:marLeft w:val="0"/>
      <w:marRight w:val="0"/>
      <w:marTop w:val="0"/>
      <w:marBottom w:val="0"/>
      <w:divBdr>
        <w:top w:val="none" w:sz="0" w:space="0" w:color="auto"/>
        <w:left w:val="none" w:sz="0" w:space="0" w:color="auto"/>
        <w:bottom w:val="none" w:sz="0" w:space="0" w:color="auto"/>
        <w:right w:val="none" w:sz="0" w:space="0" w:color="auto"/>
      </w:divBdr>
    </w:div>
    <w:div w:id="736126104">
      <w:bodyDiv w:val="1"/>
      <w:marLeft w:val="0"/>
      <w:marRight w:val="0"/>
      <w:marTop w:val="0"/>
      <w:marBottom w:val="0"/>
      <w:divBdr>
        <w:top w:val="none" w:sz="0" w:space="0" w:color="auto"/>
        <w:left w:val="none" w:sz="0" w:space="0" w:color="auto"/>
        <w:bottom w:val="none" w:sz="0" w:space="0" w:color="auto"/>
        <w:right w:val="none" w:sz="0" w:space="0" w:color="auto"/>
      </w:divBdr>
    </w:div>
    <w:div w:id="790168238">
      <w:bodyDiv w:val="1"/>
      <w:marLeft w:val="0"/>
      <w:marRight w:val="0"/>
      <w:marTop w:val="0"/>
      <w:marBottom w:val="0"/>
      <w:divBdr>
        <w:top w:val="none" w:sz="0" w:space="0" w:color="auto"/>
        <w:left w:val="none" w:sz="0" w:space="0" w:color="auto"/>
        <w:bottom w:val="none" w:sz="0" w:space="0" w:color="auto"/>
        <w:right w:val="none" w:sz="0" w:space="0" w:color="auto"/>
      </w:divBdr>
    </w:div>
    <w:div w:id="815223569">
      <w:bodyDiv w:val="1"/>
      <w:marLeft w:val="0"/>
      <w:marRight w:val="0"/>
      <w:marTop w:val="0"/>
      <w:marBottom w:val="0"/>
      <w:divBdr>
        <w:top w:val="none" w:sz="0" w:space="0" w:color="auto"/>
        <w:left w:val="none" w:sz="0" w:space="0" w:color="auto"/>
        <w:bottom w:val="none" w:sz="0" w:space="0" w:color="auto"/>
        <w:right w:val="none" w:sz="0" w:space="0" w:color="auto"/>
      </w:divBdr>
      <w:divsChild>
        <w:div w:id="2027171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873626">
      <w:bodyDiv w:val="1"/>
      <w:marLeft w:val="0"/>
      <w:marRight w:val="0"/>
      <w:marTop w:val="0"/>
      <w:marBottom w:val="0"/>
      <w:divBdr>
        <w:top w:val="none" w:sz="0" w:space="0" w:color="auto"/>
        <w:left w:val="none" w:sz="0" w:space="0" w:color="auto"/>
        <w:bottom w:val="none" w:sz="0" w:space="0" w:color="auto"/>
        <w:right w:val="none" w:sz="0" w:space="0" w:color="auto"/>
      </w:divBdr>
    </w:div>
    <w:div w:id="846672893">
      <w:bodyDiv w:val="1"/>
      <w:marLeft w:val="0"/>
      <w:marRight w:val="0"/>
      <w:marTop w:val="0"/>
      <w:marBottom w:val="0"/>
      <w:divBdr>
        <w:top w:val="none" w:sz="0" w:space="0" w:color="auto"/>
        <w:left w:val="none" w:sz="0" w:space="0" w:color="auto"/>
        <w:bottom w:val="none" w:sz="0" w:space="0" w:color="auto"/>
        <w:right w:val="none" w:sz="0" w:space="0" w:color="auto"/>
      </w:divBdr>
      <w:divsChild>
        <w:div w:id="192198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003255">
      <w:bodyDiv w:val="1"/>
      <w:marLeft w:val="0"/>
      <w:marRight w:val="0"/>
      <w:marTop w:val="0"/>
      <w:marBottom w:val="0"/>
      <w:divBdr>
        <w:top w:val="none" w:sz="0" w:space="0" w:color="auto"/>
        <w:left w:val="none" w:sz="0" w:space="0" w:color="auto"/>
        <w:bottom w:val="none" w:sz="0" w:space="0" w:color="auto"/>
        <w:right w:val="none" w:sz="0" w:space="0" w:color="auto"/>
      </w:divBdr>
      <w:divsChild>
        <w:div w:id="1988196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469837">
      <w:bodyDiv w:val="1"/>
      <w:marLeft w:val="0"/>
      <w:marRight w:val="0"/>
      <w:marTop w:val="0"/>
      <w:marBottom w:val="0"/>
      <w:divBdr>
        <w:top w:val="none" w:sz="0" w:space="0" w:color="auto"/>
        <w:left w:val="none" w:sz="0" w:space="0" w:color="auto"/>
        <w:bottom w:val="none" w:sz="0" w:space="0" w:color="auto"/>
        <w:right w:val="none" w:sz="0" w:space="0" w:color="auto"/>
      </w:divBdr>
      <w:divsChild>
        <w:div w:id="489559350">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6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146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68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7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262443">
      <w:bodyDiv w:val="1"/>
      <w:marLeft w:val="0"/>
      <w:marRight w:val="0"/>
      <w:marTop w:val="0"/>
      <w:marBottom w:val="0"/>
      <w:divBdr>
        <w:top w:val="none" w:sz="0" w:space="0" w:color="auto"/>
        <w:left w:val="none" w:sz="0" w:space="0" w:color="auto"/>
        <w:bottom w:val="none" w:sz="0" w:space="0" w:color="auto"/>
        <w:right w:val="none" w:sz="0" w:space="0" w:color="auto"/>
      </w:divBdr>
    </w:div>
    <w:div w:id="987783604">
      <w:bodyDiv w:val="1"/>
      <w:marLeft w:val="0"/>
      <w:marRight w:val="0"/>
      <w:marTop w:val="0"/>
      <w:marBottom w:val="0"/>
      <w:divBdr>
        <w:top w:val="none" w:sz="0" w:space="0" w:color="auto"/>
        <w:left w:val="none" w:sz="0" w:space="0" w:color="auto"/>
        <w:bottom w:val="none" w:sz="0" w:space="0" w:color="auto"/>
        <w:right w:val="none" w:sz="0" w:space="0" w:color="auto"/>
      </w:divBdr>
    </w:div>
    <w:div w:id="1139105095">
      <w:bodyDiv w:val="1"/>
      <w:marLeft w:val="0"/>
      <w:marRight w:val="0"/>
      <w:marTop w:val="0"/>
      <w:marBottom w:val="0"/>
      <w:divBdr>
        <w:top w:val="none" w:sz="0" w:space="0" w:color="auto"/>
        <w:left w:val="none" w:sz="0" w:space="0" w:color="auto"/>
        <w:bottom w:val="none" w:sz="0" w:space="0" w:color="auto"/>
        <w:right w:val="none" w:sz="0" w:space="0" w:color="auto"/>
      </w:divBdr>
    </w:div>
    <w:div w:id="1140608421">
      <w:bodyDiv w:val="1"/>
      <w:marLeft w:val="0"/>
      <w:marRight w:val="0"/>
      <w:marTop w:val="0"/>
      <w:marBottom w:val="0"/>
      <w:divBdr>
        <w:top w:val="none" w:sz="0" w:space="0" w:color="auto"/>
        <w:left w:val="none" w:sz="0" w:space="0" w:color="auto"/>
        <w:bottom w:val="none" w:sz="0" w:space="0" w:color="auto"/>
        <w:right w:val="none" w:sz="0" w:space="0" w:color="auto"/>
      </w:divBdr>
    </w:div>
    <w:div w:id="1189568562">
      <w:bodyDiv w:val="1"/>
      <w:marLeft w:val="0"/>
      <w:marRight w:val="0"/>
      <w:marTop w:val="0"/>
      <w:marBottom w:val="0"/>
      <w:divBdr>
        <w:top w:val="none" w:sz="0" w:space="0" w:color="auto"/>
        <w:left w:val="none" w:sz="0" w:space="0" w:color="auto"/>
        <w:bottom w:val="none" w:sz="0" w:space="0" w:color="auto"/>
        <w:right w:val="none" w:sz="0" w:space="0" w:color="auto"/>
      </w:divBdr>
    </w:div>
    <w:div w:id="1190341753">
      <w:bodyDiv w:val="1"/>
      <w:marLeft w:val="0"/>
      <w:marRight w:val="0"/>
      <w:marTop w:val="0"/>
      <w:marBottom w:val="0"/>
      <w:divBdr>
        <w:top w:val="none" w:sz="0" w:space="0" w:color="auto"/>
        <w:left w:val="none" w:sz="0" w:space="0" w:color="auto"/>
        <w:bottom w:val="none" w:sz="0" w:space="0" w:color="auto"/>
        <w:right w:val="none" w:sz="0" w:space="0" w:color="auto"/>
      </w:divBdr>
    </w:div>
    <w:div w:id="1290016135">
      <w:bodyDiv w:val="1"/>
      <w:marLeft w:val="0"/>
      <w:marRight w:val="0"/>
      <w:marTop w:val="0"/>
      <w:marBottom w:val="0"/>
      <w:divBdr>
        <w:top w:val="none" w:sz="0" w:space="0" w:color="auto"/>
        <w:left w:val="none" w:sz="0" w:space="0" w:color="auto"/>
        <w:bottom w:val="none" w:sz="0" w:space="0" w:color="auto"/>
        <w:right w:val="none" w:sz="0" w:space="0" w:color="auto"/>
      </w:divBdr>
    </w:div>
    <w:div w:id="1332946112">
      <w:bodyDiv w:val="1"/>
      <w:marLeft w:val="0"/>
      <w:marRight w:val="0"/>
      <w:marTop w:val="0"/>
      <w:marBottom w:val="0"/>
      <w:divBdr>
        <w:top w:val="none" w:sz="0" w:space="0" w:color="auto"/>
        <w:left w:val="none" w:sz="0" w:space="0" w:color="auto"/>
        <w:bottom w:val="none" w:sz="0" w:space="0" w:color="auto"/>
        <w:right w:val="none" w:sz="0" w:space="0" w:color="auto"/>
      </w:divBdr>
    </w:div>
    <w:div w:id="1795056794">
      <w:bodyDiv w:val="1"/>
      <w:marLeft w:val="0"/>
      <w:marRight w:val="0"/>
      <w:marTop w:val="0"/>
      <w:marBottom w:val="0"/>
      <w:divBdr>
        <w:top w:val="none" w:sz="0" w:space="0" w:color="auto"/>
        <w:left w:val="none" w:sz="0" w:space="0" w:color="auto"/>
        <w:bottom w:val="none" w:sz="0" w:space="0" w:color="auto"/>
        <w:right w:val="none" w:sz="0" w:space="0" w:color="auto"/>
      </w:divBdr>
      <w:divsChild>
        <w:div w:id="445807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683962">
      <w:bodyDiv w:val="1"/>
      <w:marLeft w:val="0"/>
      <w:marRight w:val="0"/>
      <w:marTop w:val="0"/>
      <w:marBottom w:val="0"/>
      <w:divBdr>
        <w:top w:val="none" w:sz="0" w:space="0" w:color="auto"/>
        <w:left w:val="none" w:sz="0" w:space="0" w:color="auto"/>
        <w:bottom w:val="none" w:sz="0" w:space="0" w:color="auto"/>
        <w:right w:val="none" w:sz="0" w:space="0" w:color="auto"/>
      </w:divBdr>
      <w:divsChild>
        <w:div w:id="189877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64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00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95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86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95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inkommunicatio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max.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m.ax/EuHousingTrendReport_202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info@pinkommunication.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4ffd6a-c44b-4b81-94aa-8749a7bcfc60" xsi:nil="true"/>
    <lcf76f155ced4ddcb4097134ff3c332f xmlns="fb27ecd4-5280-462a-a89c-7f0d92e941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1B9F167B63154BB38C68147F0E14CC" ma:contentTypeVersion="13" ma:contentTypeDescription="Creare un nuovo documento." ma:contentTypeScope="" ma:versionID="80e2190a343dfa7b43f624713f3c9e4a">
  <xsd:schema xmlns:xsd="http://www.w3.org/2001/XMLSchema" xmlns:xs="http://www.w3.org/2001/XMLSchema" xmlns:p="http://schemas.microsoft.com/office/2006/metadata/properties" xmlns:ns2="fb27ecd4-5280-462a-a89c-7f0d92e94118" xmlns:ns3="854ffd6a-c44b-4b81-94aa-8749a7bcfc60" targetNamespace="http://schemas.microsoft.com/office/2006/metadata/properties" ma:root="true" ma:fieldsID="6dd6787aebfd1e57ee7287ea77fdee3c" ns2:_="" ns3:_="">
    <xsd:import namespace="fb27ecd4-5280-462a-a89c-7f0d92e94118"/>
    <xsd:import namespace="854ffd6a-c44b-4b81-94aa-8749a7bcfc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7ecd4-5280-462a-a89c-7f0d92e94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09d4d31d-651f-46c1-863d-2f28ac29565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ffd6a-c44b-4b81-94aa-8749a7bcfc6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8ae837-7394-453f-8102-842fc45c48f6}" ma:internalName="TaxCatchAll" ma:showField="CatchAllData" ma:web="854ffd6a-c44b-4b81-94aa-8749a7bcf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FC3F8D-89E6-4E83-A457-A744E0FA9908}">
  <ds:schemaRefs>
    <ds:schemaRef ds:uri="http://schemas.microsoft.com/office/2006/metadata/properties"/>
    <ds:schemaRef ds:uri="http://schemas.microsoft.com/office/infopath/2007/PartnerControls"/>
    <ds:schemaRef ds:uri="854ffd6a-c44b-4b81-94aa-8749a7bcfc60"/>
    <ds:schemaRef ds:uri="fb27ecd4-5280-462a-a89c-7f0d92e94118"/>
  </ds:schemaRefs>
</ds:datastoreItem>
</file>

<file path=customXml/itemProps2.xml><?xml version="1.0" encoding="utf-8"?>
<ds:datastoreItem xmlns:ds="http://schemas.openxmlformats.org/officeDocument/2006/customXml" ds:itemID="{F5D199FD-7FF8-4346-8693-4FC4E332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7ecd4-5280-462a-a89c-7f0d92e94118"/>
    <ds:schemaRef ds:uri="854ffd6a-c44b-4b81-94aa-8749a7bcf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ED15F-A2A3-4587-B3B1-82C489B8EE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1044</Words>
  <Characters>5953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6984</CharactersWithSpaces>
  <SharedDoc>false</SharedDoc>
  <HLinks>
    <vt:vector size="18" baseType="variant">
      <vt:variant>
        <vt:i4>5308527</vt:i4>
      </vt:variant>
      <vt:variant>
        <vt:i4>3</vt:i4>
      </vt:variant>
      <vt:variant>
        <vt:i4>0</vt:i4>
      </vt:variant>
      <vt:variant>
        <vt:i4>5</vt:i4>
      </vt:variant>
      <vt:variant>
        <vt:lpwstr>mailto:info@pinkommunication.it</vt:lpwstr>
      </vt:variant>
      <vt:variant>
        <vt:lpwstr/>
      </vt:variant>
      <vt:variant>
        <vt:i4>655447</vt:i4>
      </vt:variant>
      <vt:variant>
        <vt:i4>0</vt:i4>
      </vt:variant>
      <vt:variant>
        <vt:i4>0</vt:i4>
      </vt:variant>
      <vt:variant>
        <vt:i4>5</vt:i4>
      </vt:variant>
      <vt:variant>
        <vt:lpwstr>http://remax.it/</vt:lpwstr>
      </vt:variant>
      <vt:variant>
        <vt:lpwstr/>
      </vt:variant>
      <vt:variant>
        <vt:i4>5308527</vt:i4>
      </vt:variant>
      <vt:variant>
        <vt:i4>0</vt:i4>
      </vt:variant>
      <vt:variant>
        <vt:i4>0</vt:i4>
      </vt:variant>
      <vt:variant>
        <vt:i4>5</vt:i4>
      </vt:variant>
      <vt:variant>
        <vt:lpwstr>mailto:info@pinkommunication.it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K.Cortellezzi</dc:creator>
  <cp:keywords/>
  <dc:description/>
  <cp:lastModifiedBy>Francesca Gori</cp:lastModifiedBy>
  <cp:revision>13</cp:revision>
  <cp:lastPrinted>2025-05-15T02:36:00Z</cp:lastPrinted>
  <dcterms:created xsi:type="dcterms:W3CDTF">2026-01-30T15:06:00Z</dcterms:created>
  <dcterms:modified xsi:type="dcterms:W3CDTF">2026-02-02T10:24:00Z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0x010100461B9F167B63154BB38C68147F0E14CC</vt:lpwstr>
  </property>
  <property fmtid="{D5CDD505-2E9C-101B-9397-08002B2CF9AE}" pid="3" name="MediaServiceImageTags">
    <vt:lpwstr/>
  </property>
</Properties>
</file>