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E60849" w14:paraId="497F5AFB" w14:textId="77777777" w:rsidTr="23DCE148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E60849" w:rsidRDefault="0033108C" w:rsidP="001D028C">
            <w:pPr>
              <w:pStyle w:val="Titolo2"/>
            </w:pPr>
          </w:p>
        </w:tc>
      </w:tr>
      <w:tr w:rsidR="00D62638" w:rsidRPr="00E60849" w14:paraId="0358193D" w14:textId="77777777" w:rsidTr="23DCE148">
        <w:trPr>
          <w:trHeight w:hRule="exact" w:val="1758"/>
        </w:trPr>
        <w:tc>
          <w:tcPr>
            <w:tcW w:w="7370" w:type="dxa"/>
          </w:tcPr>
          <w:p w14:paraId="1D931A7A" w14:textId="2B1C86B1" w:rsidR="00E60849" w:rsidRPr="00E60849" w:rsidRDefault="00E60849" w:rsidP="00E60849">
            <w:pPr>
              <w:pStyle w:val="Titolo1"/>
            </w:pPr>
            <w:r w:rsidRPr="00E60849">
              <w:t xml:space="preserve">Schaeffler ottiene </w:t>
            </w:r>
            <w:r w:rsidR="00E379EE">
              <w:t xml:space="preserve">di nuovo la </w:t>
            </w:r>
            <w:r w:rsidR="007A4210">
              <w:t xml:space="preserve">valutazione </w:t>
            </w:r>
            <w:r w:rsidR="00E379EE">
              <w:t>di</w:t>
            </w:r>
            <w:r w:rsidRPr="00E60849">
              <w:t xml:space="preserve"> “leadership” </w:t>
            </w:r>
            <w:r w:rsidR="00AF356A" w:rsidRPr="00E60849">
              <w:t>nel rating</w:t>
            </w:r>
            <w:r w:rsidRPr="00E60849">
              <w:t xml:space="preserve"> CDP </w:t>
            </w:r>
          </w:p>
          <w:p w14:paraId="682C3773" w14:textId="247AFEF1" w:rsidR="00D62638" w:rsidRPr="00E60849" w:rsidRDefault="00D62638" w:rsidP="000A262F">
            <w:pPr>
              <w:pStyle w:val="Titolo1"/>
            </w:pPr>
          </w:p>
        </w:tc>
      </w:tr>
      <w:tr w:rsidR="00AB5AB6" w:rsidRPr="00E60849" w14:paraId="01799C92" w14:textId="77777777" w:rsidTr="23DCE148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E60849" w:rsidRDefault="00AB5AB6" w:rsidP="006A5C61"/>
        </w:tc>
      </w:tr>
    </w:tbl>
    <w:p w14:paraId="73120164" w14:textId="587CFADE" w:rsidR="00EC1E07" w:rsidRPr="00E60849" w:rsidRDefault="00E60849" w:rsidP="00EC1E07">
      <w:pPr>
        <w:pStyle w:val="Paragrafoelenco"/>
        <w:rPr>
          <w:spacing w:val="-2"/>
        </w:rPr>
      </w:pPr>
      <w:bookmarkStart w:id="0" w:name="_Hlk216706180"/>
      <w:bookmarkStart w:id="1" w:name="_Hlk14262545"/>
      <w:r w:rsidRPr="00E60849">
        <w:t xml:space="preserve">Per la quarta volta consecutiva, Schaeffler ottiene </w:t>
      </w:r>
      <w:r w:rsidR="00194829">
        <w:t>la valutazione</w:t>
      </w:r>
      <w:r w:rsidRPr="00E60849">
        <w:t xml:space="preserve"> “A” nella categoria </w:t>
      </w:r>
      <w:r w:rsidR="00194829">
        <w:t>cambiamento climatico</w:t>
      </w:r>
      <w:r w:rsidR="00EC1E07" w:rsidRPr="00E60849">
        <w:t xml:space="preserve"> </w:t>
      </w:r>
      <w:r w:rsidRPr="00E60849">
        <w:t>del CDP</w:t>
      </w:r>
      <w:r w:rsidR="00E379EE">
        <w:t xml:space="preserve"> (Carbon Disclosure Project)</w:t>
      </w:r>
    </w:p>
    <w:bookmarkEnd w:id="0"/>
    <w:p w14:paraId="22DFB709" w14:textId="38F90C20" w:rsidR="001E25E0" w:rsidRPr="00E60849" w:rsidRDefault="00E60849" w:rsidP="00CE6626">
      <w:pPr>
        <w:pStyle w:val="Paragrafoelenco"/>
        <w:rPr>
          <w:spacing w:val="-2"/>
        </w:rPr>
      </w:pPr>
      <w:r w:rsidRPr="00E60849">
        <w:t>Riconoscimento dell'impegno a decarbonizzare la produzione</w:t>
      </w:r>
      <w:r w:rsidR="00CE6626" w:rsidRPr="00E60849">
        <w:t xml:space="preserve"> </w:t>
      </w:r>
    </w:p>
    <w:p w14:paraId="32786200" w14:textId="56070948" w:rsidR="00F453D9" w:rsidRPr="00E60849" w:rsidRDefault="00E60849" w:rsidP="00F453D9">
      <w:pPr>
        <w:pStyle w:val="Paragrafoelenco"/>
      </w:pPr>
      <w:r w:rsidRPr="00E60849">
        <w:t>La sostenibilità ricopre un ruolo di grande importanza per il Gruppo Schaeffler</w:t>
      </w:r>
    </w:p>
    <w:bookmarkEnd w:id="1"/>
    <w:p w14:paraId="4CF2CB92" w14:textId="17C44209" w:rsidR="00F453D9" w:rsidRPr="00E60849" w:rsidRDefault="00156EB8" w:rsidP="00F453D9">
      <w:r w:rsidRPr="00F03996">
        <w:t>Herzogenaurach</w:t>
      </w:r>
      <w:r w:rsidR="00EC1E07" w:rsidRPr="00F03996">
        <w:t>, German</w:t>
      </w:r>
      <w:r w:rsidR="00E60849" w:rsidRPr="00F03996">
        <w:t>ia</w:t>
      </w:r>
      <w:r w:rsidR="00EC1E07" w:rsidRPr="00F03996">
        <w:t xml:space="preserve"> | </w:t>
      </w:r>
      <w:r w:rsidR="007A4210">
        <w:t>Gennaio</w:t>
      </w:r>
      <w:r w:rsidR="00EC1E07" w:rsidRPr="00F03996">
        <w:t xml:space="preserve"> 2026 | </w:t>
      </w:r>
      <w:r w:rsidR="00F03996" w:rsidRPr="00F03996">
        <w:t xml:space="preserve">Per la quarta volta consecutiva, l'organizzazione ambientale internazionale CDP ha assegnato al Gruppo Schaeffler </w:t>
      </w:r>
      <w:r w:rsidR="002E582E">
        <w:t>la valutazione</w:t>
      </w:r>
      <w:r w:rsidR="00F03996" w:rsidRPr="00F03996">
        <w:t xml:space="preserve"> massim</w:t>
      </w:r>
      <w:r w:rsidR="002E582E">
        <w:t>a</w:t>
      </w:r>
      <w:r w:rsidR="00F03996" w:rsidRPr="00F03996">
        <w:t xml:space="preserve"> “A” nella categoria </w:t>
      </w:r>
      <w:r w:rsidR="00C009DD">
        <w:t>cambiamento climatico</w:t>
      </w:r>
      <w:r w:rsidR="00F03996" w:rsidRPr="00F03996">
        <w:t>, in riconoscimento del suo impegno per la sostenibilità nel 2025</w:t>
      </w:r>
      <w:r w:rsidR="00194829" w:rsidRPr="00F03996">
        <w:t xml:space="preserve">. Nella categoria </w:t>
      </w:r>
      <w:r w:rsidR="00C009DD">
        <w:t>risorse idriche</w:t>
      </w:r>
      <w:r w:rsidR="00194829" w:rsidRPr="00F03996">
        <w:t>, Schaeffler ha ricevuto un</w:t>
      </w:r>
      <w:r w:rsidR="00C009DD">
        <w:t>a valutazione</w:t>
      </w:r>
      <w:r w:rsidR="00194829" w:rsidRPr="00F03996">
        <w:t xml:space="preserve"> </w:t>
      </w:r>
      <w:r w:rsidR="00194829">
        <w:t>“</w:t>
      </w:r>
      <w:r w:rsidR="00194829" w:rsidRPr="00F03996">
        <w:t>A-”, lo stesso punteggio dell'anno precedente</w:t>
      </w:r>
      <w:r w:rsidR="002D220C" w:rsidRPr="00E60849">
        <w:t xml:space="preserve">. </w:t>
      </w:r>
      <w:bookmarkStart w:id="2" w:name="_Hlk218691233"/>
      <w:r w:rsidR="00C009DD" w:rsidRPr="00E60849">
        <w:t xml:space="preserve">Il risultato di questi due punteggi </w:t>
      </w:r>
      <w:r w:rsidR="00C009DD">
        <w:t>significa che, ancora una volta,</w:t>
      </w:r>
      <w:r w:rsidR="00C009DD" w:rsidRPr="00E60849">
        <w:t xml:space="preserve"> la Motion Technology Company </w:t>
      </w:r>
      <w:r w:rsidR="00C009DD">
        <w:t>ha</w:t>
      </w:r>
      <w:r w:rsidR="00C009DD" w:rsidRPr="00C009DD">
        <w:t xml:space="preserve"> raggiunto il più alto livello di riconoscimento per la leadership ambientale</w:t>
      </w:r>
      <w:r w:rsidR="00EC1E07" w:rsidRPr="00E60849">
        <w:t>.</w:t>
      </w:r>
    </w:p>
    <w:bookmarkEnd w:id="2"/>
    <w:p w14:paraId="4102A9D7" w14:textId="70670795" w:rsidR="00FA5043" w:rsidRPr="00C009DD" w:rsidRDefault="00C009DD" w:rsidP="00EC1E07">
      <w:r w:rsidRPr="00C009DD">
        <w:rPr>
          <w:b/>
          <w:bCs/>
        </w:rPr>
        <w:t>Conferma dell'impegno per la sostenibilità</w:t>
      </w:r>
      <w:r w:rsidR="00F33DB9" w:rsidRPr="00C009DD">
        <w:rPr>
          <w:rStyle w:val="Enfasigrassetto"/>
        </w:rPr>
        <w:br/>
      </w:r>
      <w:r w:rsidR="00F33DB9" w:rsidRPr="00C009DD">
        <w:t xml:space="preserve">Klaus Rosenfeld, CEO </w:t>
      </w:r>
      <w:r w:rsidRPr="00C009DD">
        <w:t>di</w:t>
      </w:r>
      <w:r w:rsidR="00F33DB9" w:rsidRPr="00C009DD">
        <w:t xml:space="preserve"> Schaeffler AG, </w:t>
      </w:r>
      <w:r w:rsidRPr="00C009DD">
        <w:t>ha spiegato</w:t>
      </w:r>
      <w:r w:rsidR="00F33DB9" w:rsidRPr="00C009DD">
        <w:t>: “</w:t>
      </w:r>
      <w:bookmarkStart w:id="3" w:name="_Hlk217297861"/>
      <w:r w:rsidRPr="00C009DD">
        <w:t xml:space="preserve">Il conferimento </w:t>
      </w:r>
      <w:r w:rsidR="002E582E">
        <w:t xml:space="preserve">della valutazione </w:t>
      </w:r>
      <w:r w:rsidRPr="00C009DD">
        <w:t xml:space="preserve">“A” per il cambiamento climatico conferma il nostro impegno a favore della tutela dell'ambiente e ci spinge a continuare ad attuare sistematicamente la nostra strategia di decarbonizzazione. </w:t>
      </w:r>
      <w:r w:rsidR="00E379EE">
        <w:t>In seguito all’acquisizione</w:t>
      </w:r>
      <w:r w:rsidRPr="00C009DD">
        <w:t xml:space="preserve"> di Vitesco Technologies, stiamo attualmente lavorando all'aggiornamento dei nostri obiettivi climatici per la società combinata. In questo contesto, il nostro obiettivo è quello di rimanere in linea con gli obiettivi dell'Accordo di Parigi sul clima. Per Schaeffler, la sostenibilità è una questione fondamentale e un prerequisito importante nel nostro impegno per diventare l</w:t>
      </w:r>
      <w:r>
        <w:t>a</w:t>
      </w:r>
      <w:r w:rsidR="00F33DB9" w:rsidRPr="00E60849">
        <w:t xml:space="preserve"> leading Motion Technology Company.</w:t>
      </w:r>
      <w:bookmarkEnd w:id="3"/>
      <w:r w:rsidR="00F33DB9" w:rsidRPr="00E60849">
        <w:t xml:space="preserve">” </w:t>
      </w:r>
    </w:p>
    <w:p w14:paraId="534B0ED9" w14:textId="1199DFF4" w:rsidR="00B10218" w:rsidRPr="00E60849" w:rsidRDefault="00B10218" w:rsidP="00EC1E07">
      <w:r w:rsidRPr="00B10218">
        <w:t>L’inserimento di Schaeffler nella “Climate A List 2025” di CDP dimostra l</w:t>
      </w:r>
      <w:r>
        <w:t>’elevata</w:t>
      </w:r>
      <w:r w:rsidRPr="00B10218">
        <w:t xml:space="preserve"> qualità, la completezza e la trasparenza dei dati raccolti dall’azienda </w:t>
      </w:r>
      <w:r>
        <w:t xml:space="preserve">sulle proprie azioni in materia </w:t>
      </w:r>
      <w:r w:rsidRPr="00B10218">
        <w:t xml:space="preserve">di sostenibilità. Ciò offre agli stakeholder una visione approfondita degli impatti ambientali </w:t>
      </w:r>
      <w:r>
        <w:t>dell’azienda</w:t>
      </w:r>
      <w:r w:rsidRPr="00B10218">
        <w:t xml:space="preserve"> e rappresenta una base solida per il suo percorso di trasformazione sostenibile.</w:t>
      </w:r>
    </w:p>
    <w:p w14:paraId="7A22363F" w14:textId="0C403574" w:rsidR="00E379EE" w:rsidRPr="00E60849" w:rsidRDefault="00AF356A" w:rsidP="006A579E">
      <w:r w:rsidRPr="00E60849">
        <w:rPr>
          <w:b/>
          <w:bCs/>
        </w:rPr>
        <w:lastRenderedPageBreak/>
        <w:t>Decarbonizzazione della propria produzione</w:t>
      </w:r>
      <w:r w:rsidR="006C7C9F" w:rsidRPr="00E60849">
        <w:br/>
      </w:r>
      <w:r w:rsidRPr="00E60849">
        <w:t xml:space="preserve">L'attuale classifica del CDP riconosce in particolare l'impegno dell'azienda a decarbonizzare la propria produzione. </w:t>
      </w:r>
      <w:r w:rsidR="00E379EE">
        <w:t>In questo contesto, l</w:t>
      </w:r>
      <w:r w:rsidR="00E379EE" w:rsidRPr="00E379EE">
        <w:t>’</w:t>
      </w:r>
      <w:r w:rsidR="00E379EE">
        <w:t>utilizzo</w:t>
      </w:r>
      <w:r w:rsidR="00E379EE" w:rsidRPr="00E379EE">
        <w:t xml:space="preserve"> globale di energia elettrica rinnovabile e il risparmio </w:t>
      </w:r>
      <w:r w:rsidR="00E379EE">
        <w:t xml:space="preserve">energetico </w:t>
      </w:r>
      <w:r w:rsidR="00E379EE" w:rsidRPr="00E379EE">
        <w:t>di più di 100 gigawattora hanno contribuito a far raggiungere al Gruppo Schaeffler due obiettivi fondamentali nel 2024.</w:t>
      </w:r>
    </w:p>
    <w:p w14:paraId="5F42BBCB" w14:textId="5A69CD39" w:rsidR="008E0DDC" w:rsidRPr="00AF356A" w:rsidRDefault="008E0DDC" w:rsidP="00EC1E07">
      <w:r w:rsidRPr="008E0DDC">
        <w:t xml:space="preserve">L’azienda ha inoltre migliorato il proprio punteggio nella categoria dedicata alle politiche ambientali grazie alla nuova edizione della Policy Statement </w:t>
      </w:r>
      <w:hyperlink r:id="rId11" w:history="1">
        <w:r w:rsidRPr="008E0DDC">
          <w:rPr>
            <w:rStyle w:val="Collegamentoipertestuale"/>
            <w:lang w:val="it-IT"/>
          </w:rPr>
          <w:t>“Energy, Environment, Health and Safety (EnEHS)”</w:t>
        </w:r>
      </w:hyperlink>
      <w:r w:rsidRPr="008E0DDC">
        <w:t>, che illustra gli impegni assunti in materia di tutela delle risorse idriche e protezione del clima.</w:t>
      </w:r>
    </w:p>
    <w:p w14:paraId="40FBED28" w14:textId="34F19E03" w:rsidR="00BA4D69" w:rsidRPr="00E60849" w:rsidRDefault="00AF356A" w:rsidP="00BA4D69">
      <w:r w:rsidRPr="00AF356A">
        <w:t xml:space="preserve">Nella categoria </w:t>
      </w:r>
      <w:r>
        <w:t>risorse idriche</w:t>
      </w:r>
      <w:r w:rsidR="003A5B71">
        <w:t>, la valutazione</w:t>
      </w:r>
      <w:r w:rsidRPr="00AF356A">
        <w:t xml:space="preserve"> “A-” conferma che il Gruppo Schaeffler continua a essere una delle aziende leader in questo settore. Questo risultato è attribuibile principalmente ai punteggi ottenuti dall'azienda per la sua strategia aziendale e la gestione delle opportunità e dei rischi</w:t>
      </w:r>
      <w:r w:rsidR="00BA4D69" w:rsidRPr="00E60849">
        <w:t xml:space="preserve">. </w:t>
      </w:r>
    </w:p>
    <w:p w14:paraId="29476999" w14:textId="1541E7AC" w:rsidR="006C7C9F" w:rsidRPr="00AF356A" w:rsidRDefault="00AF356A" w:rsidP="006C7C9F">
      <w:r w:rsidRPr="00AF356A">
        <w:rPr>
          <w:b/>
        </w:rPr>
        <w:t>Strategia di sostenibilità olistica</w:t>
      </w:r>
      <w:r w:rsidR="006F655F" w:rsidRPr="00AF356A">
        <w:br/>
      </w:r>
      <w:r w:rsidRPr="00AF356A">
        <w:t>Il Gruppo Schaeffler considera la sostenibilità una questione olistica e di primaria importanza. La strategia di sostenibilità della Motion Technology Company, sistematicamente allineata alle tre dimensioni ESG (Environment, Social e Governance), si articola in cinque diversi campi d'azione. Due di questi riguardano il clima: la riduzione delle emissioni di gas serra nelle attività aziendali e lungo la catena di fornitura e la mitigazione dell'impatto ambientale attraverso l'integrazione dei principi dell'economia circolare</w:t>
      </w:r>
      <w:r w:rsidR="006F655F" w:rsidRPr="00AF356A">
        <w:t>.</w:t>
      </w:r>
    </w:p>
    <w:p w14:paraId="1E85D671" w14:textId="7B9F0F0D" w:rsidR="008E0DDC" w:rsidRPr="00E60849" w:rsidRDefault="008E0DDC" w:rsidP="00EC1E07">
      <w:r w:rsidRPr="008E0DDC">
        <w:t>Grazie a un esclusivo database ambientale globale, CDP raccoglie ogni anno informazioni dettagliate sulle emissioni di gas serra, sui rischi climatici e sugli obiettivi e le strategie di riduzione delle aziende. L’organizzazione ambientale non profit assegna valutazioni da “A” a “D-”, con i punteggi “A” e “A-” che rappresentano la categoria più alta, denominata “leadership”. A livello internazionale, il rating CDP è considerato lo standard di riferimento per la trasparenza ambientale ed è spesso utilizzato negli ambiti degli investimenti e degli approvvigionamenti per favorire la transizione verso un’economia sostenibile e resiliente.</w:t>
      </w:r>
    </w:p>
    <w:p w14:paraId="050CD75F" w14:textId="1E75659B" w:rsidR="00B13126" w:rsidRPr="00E60849" w:rsidRDefault="00AF356A" w:rsidP="00B13126">
      <w:r w:rsidRPr="00E60849">
        <w:t>Per maggiori informazioni sull'impegno del Gruppo Schaeffler verso la sostenibilità, visita</w:t>
      </w:r>
      <w:r>
        <w:t>re</w:t>
      </w:r>
      <w:r w:rsidRPr="00E60849">
        <w:t xml:space="preserve"> il sito web dell'azienda</w:t>
      </w:r>
      <w:r w:rsidR="00EC1E07" w:rsidRPr="00E60849">
        <w:t xml:space="preserve">: </w:t>
      </w:r>
      <w:hyperlink r:id="rId12" w:history="1">
        <w:r w:rsidR="00A92F5F" w:rsidRPr="00E60849">
          <w:rPr>
            <w:rStyle w:val="Collegamentoipertestuale"/>
            <w:lang w:val="it-IT"/>
          </w:rPr>
          <w:t>https://www.schaeffler.com/en/group/sustainability/</w:t>
        </w:r>
      </w:hyperlink>
    </w:p>
    <w:p w14:paraId="402CF36C" w14:textId="77777777" w:rsidR="00F12B71" w:rsidRPr="00E60849" w:rsidRDefault="00F12B71" w:rsidP="00B13126"/>
    <w:p w14:paraId="24952FB6" w14:textId="77777777" w:rsidR="00F12B71" w:rsidRPr="00E60849" w:rsidRDefault="00F12B71" w:rsidP="00B13126"/>
    <w:p w14:paraId="4DB883EB" w14:textId="653C9EE4" w:rsidR="00B13126" w:rsidRPr="00E60849" w:rsidRDefault="00FA5043" w:rsidP="00B13126">
      <w:r w:rsidRPr="00E60849">
        <w:rPr>
          <w:noProof/>
        </w:rPr>
        <w:lastRenderedPageBreak/>
        <w:drawing>
          <wp:inline distT="0" distB="0" distL="0" distR="0" wp14:anchorId="4D88377E" wp14:editId="0068115E">
            <wp:extent cx="2648309" cy="2648309"/>
            <wp:effectExtent l="0" t="0" r="0" b="0"/>
            <wp:docPr id="17741459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983" cy="266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E1208" w14:textId="10B79A79" w:rsidR="008E0DDC" w:rsidRDefault="008E0DDC" w:rsidP="00FA5043">
      <w:pPr>
        <w:rPr>
          <w:sz w:val="20"/>
        </w:rPr>
      </w:pPr>
      <w:r w:rsidRPr="008E0DDC">
        <w:rPr>
          <w:sz w:val="20"/>
        </w:rPr>
        <w:t>Schaeffler ottiene per il quarto anno consecutivo la valutazione “A” di CDP nella categoria cambiamenti climatici.</w:t>
      </w:r>
    </w:p>
    <w:p w14:paraId="14AA0230" w14:textId="77777777" w:rsidR="008E0DDC" w:rsidRPr="00AF356A" w:rsidRDefault="008E0DDC" w:rsidP="00FA5043">
      <w:pPr>
        <w:rPr>
          <w:sz w:val="20"/>
        </w:rPr>
      </w:pPr>
    </w:p>
    <w:p w14:paraId="1B785AC5" w14:textId="1E888C04" w:rsidR="00B13126" w:rsidRPr="00E60849" w:rsidRDefault="00E60849" w:rsidP="00F453D9">
      <w:pPr>
        <w:ind w:left="227" w:hanging="227"/>
      </w:pPr>
      <w:r w:rsidRPr="00E60849">
        <w:t>Immagine</w:t>
      </w:r>
      <w:r w:rsidR="003131F5" w:rsidRPr="00E60849">
        <w:t>: CDP</w:t>
      </w:r>
    </w:p>
    <w:p w14:paraId="75354E4A" w14:textId="77777777" w:rsidR="003131F5" w:rsidRPr="00E60849" w:rsidRDefault="003131F5" w:rsidP="009031C8">
      <w:pPr>
        <w:pStyle w:val="Hinweis"/>
      </w:pPr>
    </w:p>
    <w:p w14:paraId="78CD6DD0" w14:textId="77777777" w:rsidR="009031C8" w:rsidRPr="00E60849" w:rsidRDefault="009031C8" w:rsidP="009031C8">
      <w:pPr>
        <w:pStyle w:val="Hinweis"/>
      </w:pPr>
      <w:r w:rsidRPr="00E6084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30E29" wp14:editId="70E2EF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1121BA0">
              <v:line id="Gerader Verbinder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00774B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1EF33643" w14:textId="5631BCF0" w:rsidR="0037142E" w:rsidRPr="00E60849" w:rsidRDefault="00E60849" w:rsidP="0037142E">
      <w:pPr>
        <w:pStyle w:val="Hinweis"/>
        <w:rPr>
          <w:rFonts w:asciiTheme="minorHAnsi" w:hAnsiTheme="minorHAnsi"/>
          <w:b/>
          <w:bCs/>
        </w:rPr>
      </w:pPr>
      <w:r w:rsidRPr="00E60849">
        <w:rPr>
          <w:rFonts w:asciiTheme="minorHAnsi" w:hAnsiTheme="minorHAnsi"/>
          <w:b/>
        </w:rPr>
        <w:t xml:space="preserve">Gruppo </w:t>
      </w:r>
      <w:r w:rsidR="0037142E" w:rsidRPr="00E60849">
        <w:rPr>
          <w:rFonts w:asciiTheme="minorHAnsi" w:hAnsiTheme="minorHAnsi"/>
          <w:b/>
        </w:rPr>
        <w:t>Schaeffler</w:t>
      </w:r>
      <w:r w:rsidRPr="00E60849">
        <w:rPr>
          <w:rFonts w:asciiTheme="minorHAnsi" w:hAnsiTheme="minorHAnsi"/>
          <w:b/>
        </w:rPr>
        <w:t xml:space="preserve"> </w:t>
      </w:r>
      <w:r w:rsidR="0037142E" w:rsidRPr="00E60849">
        <w:rPr>
          <w:rFonts w:asciiTheme="minorHAnsi" w:hAnsiTheme="minorHAnsi"/>
          <w:b/>
        </w:rPr>
        <w:t>– We pioneer motion</w:t>
      </w:r>
    </w:p>
    <w:p w14:paraId="737577FC" w14:textId="6225D4BC" w:rsidR="0037142E" w:rsidRPr="00E60849" w:rsidRDefault="00E60849" w:rsidP="0037142E">
      <w:pPr>
        <w:pStyle w:val="Hinweis"/>
      </w:pPr>
      <w:r w:rsidRPr="00E60849">
        <w:rPr>
          <w:bCs/>
        </w:rPr>
        <w:t>Il 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</w:t>
      </w:r>
      <w:r w:rsidR="0037142E" w:rsidRPr="00E60849">
        <w:rPr>
          <w:rFonts w:asciiTheme="minorHAnsi" w:hAnsiTheme="minorHAnsi"/>
        </w:rPr>
        <w:t>.</w:t>
      </w:r>
      <w:r w:rsidR="0037142E" w:rsidRPr="00E60849">
        <w:rPr>
          <w:rFonts w:asciiTheme="minorHAnsi" w:hAnsiTheme="minorHAnsi"/>
        </w:rPr>
        <w:cr/>
      </w:r>
    </w:p>
    <w:p w14:paraId="7C8901F8" w14:textId="77777777" w:rsidR="0037142E" w:rsidRPr="00E60849" w:rsidRDefault="0037142E" w:rsidP="0037142E">
      <w:pPr>
        <w:pStyle w:val="Hinweis"/>
      </w:pPr>
      <w:r w:rsidRPr="00E6084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022EB7" wp14:editId="6AC6E3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4FB4B71">
              <v:line id="Straight Connector 1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4C4B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12CDE22E" w14:textId="77777777" w:rsidR="00A92F5F" w:rsidRPr="00E60849" w:rsidRDefault="00A92F5F" w:rsidP="0037142E">
      <w:pPr>
        <w:spacing w:before="0"/>
        <w:rPr>
          <w:rStyle w:val="Enfasigrassetto"/>
          <w:sz w:val="8"/>
          <w:szCs w:val="8"/>
        </w:rPr>
      </w:pPr>
    </w:p>
    <w:p w14:paraId="2E8161B9" w14:textId="28ADE057" w:rsidR="0037142E" w:rsidRPr="00E60849" w:rsidRDefault="0037142E" w:rsidP="0037142E">
      <w:pPr>
        <w:spacing w:before="0"/>
        <w:rPr>
          <w:rStyle w:val="Enfasigrassetto"/>
        </w:rPr>
      </w:pPr>
      <w:r w:rsidRPr="00E60849">
        <w:rPr>
          <w:rStyle w:val="Enfasigrassetto"/>
        </w:rPr>
        <w:t>Conta</w:t>
      </w:r>
      <w:r w:rsidR="00E60849" w:rsidRPr="00E60849">
        <w:rPr>
          <w:rStyle w:val="Enfasigrassetto"/>
        </w:rPr>
        <w:t>tto</w:t>
      </w:r>
    </w:p>
    <w:p w14:paraId="348EC09D" w14:textId="77777777" w:rsidR="0037142E" w:rsidRPr="00E60849" w:rsidRDefault="0037142E" w:rsidP="0037142E">
      <w:pPr>
        <w:spacing w:before="0"/>
        <w:rPr>
          <w:rStyle w:val="Enfasigrassetto"/>
          <w:sz w:val="14"/>
          <w:szCs w:val="14"/>
        </w:rPr>
      </w:pPr>
    </w:p>
    <w:tbl>
      <w:tblPr>
        <w:tblStyle w:val="Grigliatabel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544"/>
      </w:tblGrid>
      <w:tr w:rsidR="0037142E" w:rsidRPr="00E60849" w14:paraId="2F3B7F17" w14:textId="77777777" w:rsidTr="003131F5">
        <w:tc>
          <w:tcPr>
            <w:tcW w:w="5954" w:type="dxa"/>
          </w:tcPr>
          <w:p w14:paraId="638008AC" w14:textId="556F15A7" w:rsidR="0037142E" w:rsidRPr="00E60849" w:rsidRDefault="00E60849" w:rsidP="00C96928">
            <w:pPr>
              <w:autoSpaceDE w:val="0"/>
              <w:autoSpaceDN w:val="0"/>
              <w:adjustRightInd w:val="0"/>
              <w:spacing w:before="0"/>
              <w:ind w:right="282"/>
              <w:rPr>
                <w:rStyle w:val="Enfasigrassetto"/>
              </w:rPr>
            </w:pPr>
            <w:r w:rsidRPr="00E60849">
              <w:rPr>
                <w:rStyle w:val="Enfasigrassetto"/>
              </w:rPr>
              <w:t>Daniela Zucchetti</w:t>
            </w:r>
          </w:p>
          <w:p w14:paraId="41D98CD2" w14:textId="344E337E" w:rsidR="0037142E" w:rsidRPr="00E60849" w:rsidRDefault="00E60849" w:rsidP="00C96928">
            <w:pPr>
              <w:autoSpaceDE w:val="0"/>
              <w:autoSpaceDN w:val="0"/>
              <w:adjustRightInd w:val="0"/>
              <w:spacing w:before="0"/>
              <w:ind w:right="282"/>
            </w:pPr>
            <w:r w:rsidRPr="00E60849">
              <w:t>Communications &amp; Branding Manager</w:t>
            </w:r>
          </w:p>
          <w:p w14:paraId="50B3AE7B" w14:textId="034F7316" w:rsidR="0037142E" w:rsidRPr="00E60849" w:rsidRDefault="0037142E" w:rsidP="00C96928">
            <w:pPr>
              <w:autoSpaceDE w:val="0"/>
              <w:autoSpaceDN w:val="0"/>
              <w:adjustRightInd w:val="0"/>
              <w:spacing w:before="0"/>
              <w:ind w:right="282"/>
            </w:pPr>
            <w:r w:rsidRPr="00E60849">
              <w:t xml:space="preserve">Schaeffler </w:t>
            </w:r>
            <w:r w:rsidR="00E60849" w:rsidRPr="00E60849">
              <w:t>Italia</w:t>
            </w:r>
            <w:r w:rsidRPr="00E60849">
              <w:t>,</w:t>
            </w:r>
            <w:r w:rsidR="00E60849" w:rsidRPr="00E60849">
              <w:t xml:space="preserve"> Momo, Italy</w:t>
            </w:r>
          </w:p>
          <w:p w14:paraId="18398964" w14:textId="3A36D27F" w:rsidR="0037142E" w:rsidRPr="00E60849" w:rsidRDefault="0037142E" w:rsidP="00C96928">
            <w:pPr>
              <w:ind w:right="282"/>
            </w:pPr>
            <w:r w:rsidRPr="00E60849">
              <w:rPr>
                <w:noProof/>
              </w:rPr>
              <w:drawing>
                <wp:inline distT="0" distB="0" distL="0" distR="0" wp14:anchorId="6B105265" wp14:editId="6C35DFB4">
                  <wp:extent cx="129600" cy="129600"/>
                  <wp:effectExtent l="0" t="0" r="381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0849">
              <w:t xml:space="preserve">  +</w:t>
            </w:r>
            <w:r w:rsidR="00E60849" w:rsidRPr="00E60849">
              <w:t>3</w:t>
            </w:r>
            <w:r w:rsidRPr="00E60849">
              <w:t xml:space="preserve">9 </w:t>
            </w:r>
            <w:r w:rsidR="00E60849" w:rsidRPr="00E60849">
              <w:t>0321</w:t>
            </w:r>
            <w:r w:rsidRPr="00E60849">
              <w:t xml:space="preserve"> </w:t>
            </w:r>
            <w:r w:rsidR="00E60849" w:rsidRPr="00E60849">
              <w:t>929 402</w:t>
            </w:r>
          </w:p>
          <w:p w14:paraId="72587999" w14:textId="2AB3A85F" w:rsidR="0037142E" w:rsidRPr="00E60849" w:rsidRDefault="0037142E" w:rsidP="00C96928">
            <w:pPr>
              <w:spacing w:before="0"/>
              <w:ind w:right="282"/>
              <w:rPr>
                <w:rStyle w:val="Collegamentoipertestuale"/>
                <w:lang w:val="it-IT"/>
              </w:rPr>
            </w:pPr>
            <w:r w:rsidRPr="00E60849">
              <w:rPr>
                <w:noProof/>
                <w:sz w:val="20"/>
              </w:rPr>
              <w:drawing>
                <wp:inline distT="0" distB="0" distL="0" distR="0" wp14:anchorId="69D3F5B3" wp14:editId="0385B0DE">
                  <wp:extent cx="136800" cy="93600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0849">
              <w:rPr>
                <w:sz w:val="20"/>
              </w:rPr>
              <w:t xml:space="preserve">  </w:t>
            </w:r>
            <w:hyperlink r:id="rId16" w:history="1">
              <w:r w:rsidR="00E60849" w:rsidRPr="00E60849">
                <w:rPr>
                  <w:rStyle w:val="Collegamentoipertestuale"/>
                  <w:lang w:val="it-IT"/>
                </w:rPr>
                <w:t>daniela.zucchetti@schaeffler.com</w:t>
              </w:r>
            </w:hyperlink>
          </w:p>
          <w:p w14:paraId="473DCC3B" w14:textId="77777777" w:rsidR="0037142E" w:rsidRPr="00E60849" w:rsidRDefault="0037142E" w:rsidP="00C96928">
            <w:pPr>
              <w:spacing w:before="0"/>
              <w:ind w:right="282"/>
              <w:rPr>
                <w:rStyle w:val="Enfasigrassetto"/>
                <w:b w:val="0"/>
                <w:bCs w:val="0"/>
                <w:color w:val="00893D" w:themeColor="background2"/>
                <w:sz w:val="12"/>
                <w:szCs w:val="12"/>
              </w:rPr>
            </w:pPr>
          </w:p>
        </w:tc>
        <w:tc>
          <w:tcPr>
            <w:tcW w:w="3544" w:type="dxa"/>
          </w:tcPr>
          <w:p w14:paraId="5ED868DB" w14:textId="77777777" w:rsidR="0037142E" w:rsidRPr="00E60849" w:rsidRDefault="0037142E" w:rsidP="00AA33DF">
            <w:pPr>
              <w:ind w:left="144" w:right="284"/>
              <w:rPr>
                <w:rStyle w:val="Enfasigrassetto"/>
                <w:sz w:val="20"/>
                <w:szCs w:val="20"/>
              </w:rPr>
            </w:pPr>
          </w:p>
        </w:tc>
      </w:tr>
    </w:tbl>
    <w:p w14:paraId="182541FD" w14:textId="77777777" w:rsidR="0037142E" w:rsidRPr="00E60849" w:rsidRDefault="0037142E" w:rsidP="0037142E">
      <w:pPr>
        <w:pStyle w:val="Hinweis"/>
      </w:pPr>
    </w:p>
    <w:p w14:paraId="68615668" w14:textId="77777777" w:rsidR="0037142E" w:rsidRPr="00E60849" w:rsidRDefault="0037142E" w:rsidP="0037142E">
      <w:pPr>
        <w:pStyle w:val="Hinweis"/>
      </w:pPr>
      <w:r w:rsidRPr="00E6084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C30A45" wp14:editId="446DBA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CBDA7CF">
              <v:line id="Straight Connector 4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72DF51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0673388F" w14:textId="66DD90FB" w:rsidR="00993A43" w:rsidRPr="003131F5" w:rsidRDefault="0037142E" w:rsidP="003131F5">
      <w:pPr>
        <w:spacing w:line="240" w:lineRule="auto"/>
      </w:pPr>
      <w:bookmarkStart w:id="4" w:name="_Hlk149827070"/>
      <w:r w:rsidRPr="00E60849">
        <w:rPr>
          <w:noProof/>
        </w:rPr>
        <w:drawing>
          <wp:inline distT="0" distB="0" distL="0" distR="0" wp14:anchorId="40A34999" wp14:editId="534B3C3C">
            <wp:extent cx="252000" cy="252000"/>
            <wp:effectExtent l="0" t="0" r="0" b="0"/>
            <wp:docPr id="15" name="Grafik 1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849">
        <w:t xml:space="preserve">    </w:t>
      </w:r>
      <w:r w:rsidRPr="00E60849">
        <w:rPr>
          <w:rFonts w:ascii="Calibri" w:hAnsi="Calibri"/>
          <w:noProof/>
        </w:rPr>
        <w:drawing>
          <wp:inline distT="0" distB="0" distL="0" distR="0" wp14:anchorId="0852B8D8" wp14:editId="6889F149">
            <wp:extent cx="252000" cy="252000"/>
            <wp:effectExtent l="0" t="0" r="0" b="0"/>
            <wp:docPr id="17" name="Grafik 1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849">
        <w:t xml:space="preserve">    </w:t>
      </w:r>
      <w:r w:rsidRPr="00E60849">
        <w:rPr>
          <w:noProof/>
        </w:rPr>
        <w:drawing>
          <wp:inline distT="0" distB="0" distL="0" distR="0" wp14:anchorId="0EFA6DEA" wp14:editId="38576F2B">
            <wp:extent cx="248889" cy="252000"/>
            <wp:effectExtent l="0" t="0" r="0" b="0"/>
            <wp:docPr id="28" name="Grafik 2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849">
        <w:t xml:space="preserve">    </w:t>
      </w:r>
      <w:r w:rsidRPr="00E60849">
        <w:rPr>
          <w:rFonts w:ascii="Calibri" w:hAnsi="Calibri"/>
          <w:noProof/>
        </w:rPr>
        <w:drawing>
          <wp:inline distT="0" distB="0" distL="0" distR="0" wp14:anchorId="0D509134" wp14:editId="66DF1D6D">
            <wp:extent cx="252000" cy="252000"/>
            <wp:effectExtent l="0" t="0" r="0" b="0"/>
            <wp:docPr id="21" name="Grafik 2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849">
        <w:t xml:space="preserve">    </w:t>
      </w:r>
      <w:r w:rsidRPr="00E60849">
        <w:rPr>
          <w:noProof/>
        </w:rPr>
        <w:drawing>
          <wp:inline distT="0" distB="0" distL="0" distR="0" wp14:anchorId="1878DEE1" wp14:editId="700B1003">
            <wp:extent cx="252000" cy="252000"/>
            <wp:effectExtent l="0" t="0" r="0" b="0"/>
            <wp:docPr id="29" name="Grafik 29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849">
        <w:t xml:space="preserve">    </w:t>
      </w:r>
      <w:r w:rsidRPr="00E60849">
        <w:rPr>
          <w:noProof/>
        </w:rPr>
        <w:drawing>
          <wp:inline distT="0" distB="0" distL="0" distR="0" wp14:anchorId="73723EB8" wp14:editId="00DD0DF6">
            <wp:extent cx="252000" cy="252000"/>
            <wp:effectExtent l="0" t="0" r="0" b="0"/>
            <wp:docPr id="30" name="Grafik 3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sectPr w:rsidR="00993A43" w:rsidRPr="003131F5" w:rsidSect="0033108C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9D88" w14:textId="77777777" w:rsidR="00D27FEF" w:rsidRPr="00E60849" w:rsidRDefault="00D27FEF" w:rsidP="00DF6567">
      <w:pPr>
        <w:spacing w:line="240" w:lineRule="auto"/>
      </w:pPr>
      <w:r w:rsidRPr="00E60849">
        <w:separator/>
      </w:r>
    </w:p>
  </w:endnote>
  <w:endnote w:type="continuationSeparator" w:id="0">
    <w:p w14:paraId="234701E3" w14:textId="77777777" w:rsidR="00D27FEF" w:rsidRPr="00E60849" w:rsidRDefault="00D27FEF" w:rsidP="00DF6567">
      <w:pPr>
        <w:spacing w:line="240" w:lineRule="auto"/>
      </w:pPr>
      <w:r w:rsidRPr="00E608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964120898"/>
      <w:docPartObj>
        <w:docPartGallery w:val="Page Numbers (Bottom of Page)"/>
        <w:docPartUnique/>
      </w:docPartObj>
    </w:sdtPr>
    <w:sdtEndPr/>
    <w:sdtContent>
      <w:p w14:paraId="6ABB7735" w14:textId="77777777" w:rsidR="006A5C61" w:rsidRPr="00E60849" w:rsidRDefault="006A5C61" w:rsidP="000A262F">
        <w:pPr>
          <w:pStyle w:val="BU"/>
          <w:rPr>
            <w:noProof w:val="0"/>
          </w:rPr>
        </w:pPr>
        <w:r w:rsidRPr="00E60849">
          <w:rPr>
            <w:noProof w:val="0"/>
          </w:rPr>
          <w:fldChar w:fldCharType="begin"/>
        </w:r>
        <w:r w:rsidRPr="00E60849">
          <w:rPr>
            <w:noProof w:val="0"/>
          </w:rPr>
          <w:instrText>PAGE   \* MERGEFORMAT</w:instrText>
        </w:r>
        <w:r w:rsidRPr="00E60849">
          <w:rPr>
            <w:noProof w:val="0"/>
          </w:rPr>
          <w:fldChar w:fldCharType="separate"/>
        </w:r>
        <w:r w:rsidR="00A544B3" w:rsidRPr="00E60849">
          <w:rPr>
            <w:noProof w:val="0"/>
          </w:rPr>
          <w:t>2</w:t>
        </w:r>
        <w:r w:rsidRPr="00E60849">
          <w:rPr>
            <w:noProof w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9475280"/>
      <w:docPartObj>
        <w:docPartGallery w:val="Page Numbers (Bottom of Page)"/>
        <w:docPartUnique/>
      </w:docPartObj>
    </w:sdtPr>
    <w:sdtEndPr/>
    <w:sdtContent>
      <w:p w14:paraId="61069D6C" w14:textId="77777777" w:rsidR="00026162" w:rsidRPr="00E60849" w:rsidRDefault="00026162" w:rsidP="000A262F">
        <w:pPr>
          <w:pStyle w:val="BU"/>
          <w:rPr>
            <w:noProof w:val="0"/>
          </w:rPr>
        </w:pPr>
        <w:r w:rsidRPr="00E60849">
          <w:rPr>
            <w:noProof w:val="0"/>
          </w:rPr>
          <w:fldChar w:fldCharType="begin"/>
        </w:r>
        <w:r w:rsidRPr="00E60849">
          <w:rPr>
            <w:noProof w:val="0"/>
          </w:rPr>
          <w:instrText>PAGE   \* MERGEFORMAT</w:instrText>
        </w:r>
        <w:r w:rsidRPr="00E60849">
          <w:rPr>
            <w:noProof w:val="0"/>
          </w:rPr>
          <w:fldChar w:fldCharType="separate"/>
        </w:r>
        <w:r w:rsidR="00A544B3" w:rsidRPr="00E60849">
          <w:rPr>
            <w:noProof w:val="0"/>
          </w:rPr>
          <w:t>1</w:t>
        </w:r>
        <w:r w:rsidRPr="00E60849">
          <w:rPr>
            <w:noProof w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82FC" w14:textId="77777777" w:rsidR="00D27FEF" w:rsidRPr="00E60849" w:rsidRDefault="00D27FEF" w:rsidP="00DF6567">
      <w:pPr>
        <w:spacing w:line="240" w:lineRule="auto"/>
      </w:pPr>
      <w:r w:rsidRPr="00E60849">
        <w:separator/>
      </w:r>
    </w:p>
  </w:footnote>
  <w:footnote w:type="continuationSeparator" w:id="0">
    <w:p w14:paraId="0A0A4846" w14:textId="77777777" w:rsidR="00D27FEF" w:rsidRPr="00E60849" w:rsidRDefault="00D27FEF" w:rsidP="00DF6567">
      <w:pPr>
        <w:spacing w:line="240" w:lineRule="auto"/>
      </w:pPr>
      <w:r w:rsidRPr="00E608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Pr="00E60849" w:rsidRDefault="007C0770" w:rsidP="007C0770">
    <w:pPr>
      <w:pStyle w:val="Intestazione"/>
      <w:tabs>
        <w:tab w:val="clear" w:pos="4536"/>
      </w:tabs>
    </w:pPr>
    <w:r w:rsidRPr="00E60849"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25FA4AB1" w:rsidR="00AB5AB6" w:rsidRPr="00E60849" w:rsidRDefault="00EC1E07">
    <w:pPr>
      <w:pStyle w:val="Intestazione"/>
    </w:pPr>
    <w:r w:rsidRPr="00E60849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0E10248C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FC7F0C7">
            <v:rect id="Rechteck 1" style="position:absolute;margin-left:68.05pt;margin-top:139.5pt;width:16.4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624A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>
              <w10:wrap anchorx="page" anchory="page"/>
              <w10:anchorlock/>
            </v:rect>
          </w:pict>
        </mc:Fallback>
      </mc:AlternateContent>
    </w:r>
    <w:r w:rsidRPr="00E60849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770CF46C" w:rsidR="00AB5AB6" w:rsidRPr="00E60849" w:rsidRDefault="00E60849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 w:rsidRPr="00E60849"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770CF46C" w:rsidR="00AB5AB6" w:rsidRPr="00E60849" w:rsidRDefault="00E60849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r w:rsidRPr="00E60849"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E60849"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53293">
    <w:abstractNumId w:val="6"/>
  </w:num>
  <w:num w:numId="2" w16cid:durableId="1666515418">
    <w:abstractNumId w:val="5"/>
  </w:num>
  <w:num w:numId="3" w16cid:durableId="488138340">
    <w:abstractNumId w:val="10"/>
  </w:num>
  <w:num w:numId="4" w16cid:durableId="1652712708">
    <w:abstractNumId w:val="11"/>
  </w:num>
  <w:num w:numId="5" w16cid:durableId="8262058">
    <w:abstractNumId w:val="8"/>
  </w:num>
  <w:num w:numId="6" w16cid:durableId="1328706572">
    <w:abstractNumId w:val="7"/>
  </w:num>
  <w:num w:numId="7" w16cid:durableId="1877231556">
    <w:abstractNumId w:val="9"/>
  </w:num>
  <w:num w:numId="8" w16cid:durableId="269556222">
    <w:abstractNumId w:val="4"/>
  </w:num>
  <w:num w:numId="9" w16cid:durableId="1438215377">
    <w:abstractNumId w:val="3"/>
  </w:num>
  <w:num w:numId="10" w16cid:durableId="1104691679">
    <w:abstractNumId w:val="2"/>
  </w:num>
  <w:num w:numId="11" w16cid:durableId="1078790617">
    <w:abstractNumId w:val="1"/>
  </w:num>
  <w:num w:numId="12" w16cid:durableId="89123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15FD4"/>
    <w:rsid w:val="0002077D"/>
    <w:rsid w:val="00026162"/>
    <w:rsid w:val="0002634A"/>
    <w:rsid w:val="00030847"/>
    <w:rsid w:val="000370D0"/>
    <w:rsid w:val="000371AB"/>
    <w:rsid w:val="00045563"/>
    <w:rsid w:val="00047292"/>
    <w:rsid w:val="00075654"/>
    <w:rsid w:val="00091DC1"/>
    <w:rsid w:val="00095AF9"/>
    <w:rsid w:val="000A183F"/>
    <w:rsid w:val="000A262F"/>
    <w:rsid w:val="000C57A5"/>
    <w:rsid w:val="000D23E4"/>
    <w:rsid w:val="000D3A25"/>
    <w:rsid w:val="000E100D"/>
    <w:rsid w:val="000E67F0"/>
    <w:rsid w:val="000F587A"/>
    <w:rsid w:val="00105DA7"/>
    <w:rsid w:val="00106786"/>
    <w:rsid w:val="00113A4F"/>
    <w:rsid w:val="0012719B"/>
    <w:rsid w:val="0013382E"/>
    <w:rsid w:val="00140EA5"/>
    <w:rsid w:val="001446A9"/>
    <w:rsid w:val="00153B3F"/>
    <w:rsid w:val="00156EB8"/>
    <w:rsid w:val="00162450"/>
    <w:rsid w:val="001909D1"/>
    <w:rsid w:val="00194829"/>
    <w:rsid w:val="001A2241"/>
    <w:rsid w:val="001A4DFA"/>
    <w:rsid w:val="001B2107"/>
    <w:rsid w:val="001D028C"/>
    <w:rsid w:val="001D481B"/>
    <w:rsid w:val="001D68F6"/>
    <w:rsid w:val="001E25E0"/>
    <w:rsid w:val="001F0BB7"/>
    <w:rsid w:val="001F2A88"/>
    <w:rsid w:val="001F5283"/>
    <w:rsid w:val="001F6522"/>
    <w:rsid w:val="0020032C"/>
    <w:rsid w:val="00220896"/>
    <w:rsid w:val="00226573"/>
    <w:rsid w:val="002317C9"/>
    <w:rsid w:val="00266394"/>
    <w:rsid w:val="00273A40"/>
    <w:rsid w:val="00291368"/>
    <w:rsid w:val="00296941"/>
    <w:rsid w:val="002A153D"/>
    <w:rsid w:val="002A2066"/>
    <w:rsid w:val="002D220C"/>
    <w:rsid w:val="002E582E"/>
    <w:rsid w:val="002E68F4"/>
    <w:rsid w:val="002F71F8"/>
    <w:rsid w:val="0030051C"/>
    <w:rsid w:val="00300D11"/>
    <w:rsid w:val="003022D5"/>
    <w:rsid w:val="003060A0"/>
    <w:rsid w:val="003131F5"/>
    <w:rsid w:val="003147CD"/>
    <w:rsid w:val="00326170"/>
    <w:rsid w:val="00330DD9"/>
    <w:rsid w:val="0033108C"/>
    <w:rsid w:val="00336E29"/>
    <w:rsid w:val="0037142E"/>
    <w:rsid w:val="0037195E"/>
    <w:rsid w:val="0038325D"/>
    <w:rsid w:val="00390428"/>
    <w:rsid w:val="00392F83"/>
    <w:rsid w:val="003A5B71"/>
    <w:rsid w:val="003B634E"/>
    <w:rsid w:val="003C2A2A"/>
    <w:rsid w:val="003D5327"/>
    <w:rsid w:val="00443E54"/>
    <w:rsid w:val="0044790B"/>
    <w:rsid w:val="0045526D"/>
    <w:rsid w:val="004630FF"/>
    <w:rsid w:val="004740C9"/>
    <w:rsid w:val="004A5DBD"/>
    <w:rsid w:val="004A7DBF"/>
    <w:rsid w:val="004B114C"/>
    <w:rsid w:val="004B2BCC"/>
    <w:rsid w:val="004B70EF"/>
    <w:rsid w:val="004C458A"/>
    <w:rsid w:val="004F0FDA"/>
    <w:rsid w:val="004F752B"/>
    <w:rsid w:val="00501304"/>
    <w:rsid w:val="00504840"/>
    <w:rsid w:val="00506203"/>
    <w:rsid w:val="00511344"/>
    <w:rsid w:val="00520B52"/>
    <w:rsid w:val="005232BD"/>
    <w:rsid w:val="00523C0B"/>
    <w:rsid w:val="005254C5"/>
    <w:rsid w:val="00531324"/>
    <w:rsid w:val="0054652E"/>
    <w:rsid w:val="00563C2B"/>
    <w:rsid w:val="00566CB2"/>
    <w:rsid w:val="005926D5"/>
    <w:rsid w:val="005B089F"/>
    <w:rsid w:val="005B53CD"/>
    <w:rsid w:val="005D2320"/>
    <w:rsid w:val="005E4E62"/>
    <w:rsid w:val="005F148F"/>
    <w:rsid w:val="005F6947"/>
    <w:rsid w:val="005F70A5"/>
    <w:rsid w:val="00600AC2"/>
    <w:rsid w:val="00622BF4"/>
    <w:rsid w:val="00624707"/>
    <w:rsid w:val="006607A2"/>
    <w:rsid w:val="00667AFA"/>
    <w:rsid w:val="00677A29"/>
    <w:rsid w:val="00682D46"/>
    <w:rsid w:val="00686CF3"/>
    <w:rsid w:val="0069057B"/>
    <w:rsid w:val="006A05A8"/>
    <w:rsid w:val="006A1B6D"/>
    <w:rsid w:val="006A5C61"/>
    <w:rsid w:val="006B6318"/>
    <w:rsid w:val="006C7C9F"/>
    <w:rsid w:val="006D65F9"/>
    <w:rsid w:val="006E1124"/>
    <w:rsid w:val="006E754B"/>
    <w:rsid w:val="006E77CB"/>
    <w:rsid w:val="006F655F"/>
    <w:rsid w:val="00707B60"/>
    <w:rsid w:val="0071157C"/>
    <w:rsid w:val="007166DE"/>
    <w:rsid w:val="00731BC9"/>
    <w:rsid w:val="00731ECC"/>
    <w:rsid w:val="00753720"/>
    <w:rsid w:val="00764276"/>
    <w:rsid w:val="00783C9A"/>
    <w:rsid w:val="0079072C"/>
    <w:rsid w:val="007918BC"/>
    <w:rsid w:val="007975E0"/>
    <w:rsid w:val="007A31CF"/>
    <w:rsid w:val="007A4210"/>
    <w:rsid w:val="007C0770"/>
    <w:rsid w:val="007D0988"/>
    <w:rsid w:val="007D5EA3"/>
    <w:rsid w:val="007F2239"/>
    <w:rsid w:val="0081556D"/>
    <w:rsid w:val="008201F9"/>
    <w:rsid w:val="00825EBC"/>
    <w:rsid w:val="00835BA1"/>
    <w:rsid w:val="008474A3"/>
    <w:rsid w:val="00851D1B"/>
    <w:rsid w:val="008549FC"/>
    <w:rsid w:val="00857DD6"/>
    <w:rsid w:val="00860C29"/>
    <w:rsid w:val="00871B32"/>
    <w:rsid w:val="00895F28"/>
    <w:rsid w:val="00896A37"/>
    <w:rsid w:val="008C0BC7"/>
    <w:rsid w:val="008E0DDC"/>
    <w:rsid w:val="009031C8"/>
    <w:rsid w:val="00904836"/>
    <w:rsid w:val="00911F16"/>
    <w:rsid w:val="00914DF9"/>
    <w:rsid w:val="009232BD"/>
    <w:rsid w:val="00926CC4"/>
    <w:rsid w:val="00930BDD"/>
    <w:rsid w:val="009320E7"/>
    <w:rsid w:val="00934587"/>
    <w:rsid w:val="00947EA3"/>
    <w:rsid w:val="00952875"/>
    <w:rsid w:val="009560C2"/>
    <w:rsid w:val="00971DD3"/>
    <w:rsid w:val="00975BD9"/>
    <w:rsid w:val="00984D26"/>
    <w:rsid w:val="009874B1"/>
    <w:rsid w:val="00993A43"/>
    <w:rsid w:val="00997A99"/>
    <w:rsid w:val="009A29DD"/>
    <w:rsid w:val="009A31C6"/>
    <w:rsid w:val="009A5847"/>
    <w:rsid w:val="009A6878"/>
    <w:rsid w:val="009B056E"/>
    <w:rsid w:val="009E0382"/>
    <w:rsid w:val="009E29E2"/>
    <w:rsid w:val="00A11665"/>
    <w:rsid w:val="00A154BD"/>
    <w:rsid w:val="00A32C86"/>
    <w:rsid w:val="00A468F2"/>
    <w:rsid w:val="00A52770"/>
    <w:rsid w:val="00A544B3"/>
    <w:rsid w:val="00A60018"/>
    <w:rsid w:val="00A756D6"/>
    <w:rsid w:val="00A77FEB"/>
    <w:rsid w:val="00A82D6A"/>
    <w:rsid w:val="00A83F76"/>
    <w:rsid w:val="00A92F5F"/>
    <w:rsid w:val="00A95E82"/>
    <w:rsid w:val="00AA33DF"/>
    <w:rsid w:val="00AA4D9E"/>
    <w:rsid w:val="00AA58ED"/>
    <w:rsid w:val="00AB561A"/>
    <w:rsid w:val="00AB5AB6"/>
    <w:rsid w:val="00AC708D"/>
    <w:rsid w:val="00AC7098"/>
    <w:rsid w:val="00AD0056"/>
    <w:rsid w:val="00AD2BDF"/>
    <w:rsid w:val="00AE251D"/>
    <w:rsid w:val="00AE4755"/>
    <w:rsid w:val="00AF2EDC"/>
    <w:rsid w:val="00AF356A"/>
    <w:rsid w:val="00AF584F"/>
    <w:rsid w:val="00AF7680"/>
    <w:rsid w:val="00B00195"/>
    <w:rsid w:val="00B0162B"/>
    <w:rsid w:val="00B05DA3"/>
    <w:rsid w:val="00B10218"/>
    <w:rsid w:val="00B13126"/>
    <w:rsid w:val="00B174C1"/>
    <w:rsid w:val="00B1782B"/>
    <w:rsid w:val="00B2433A"/>
    <w:rsid w:val="00B4677C"/>
    <w:rsid w:val="00B53C7D"/>
    <w:rsid w:val="00B726AE"/>
    <w:rsid w:val="00BA060C"/>
    <w:rsid w:val="00BA20B5"/>
    <w:rsid w:val="00BA4D69"/>
    <w:rsid w:val="00BB54CA"/>
    <w:rsid w:val="00BC6214"/>
    <w:rsid w:val="00BD6A25"/>
    <w:rsid w:val="00BE0DF0"/>
    <w:rsid w:val="00BF0567"/>
    <w:rsid w:val="00C009DD"/>
    <w:rsid w:val="00C20EA4"/>
    <w:rsid w:val="00C32B09"/>
    <w:rsid w:val="00C81756"/>
    <w:rsid w:val="00C8725C"/>
    <w:rsid w:val="00CA4042"/>
    <w:rsid w:val="00CC403C"/>
    <w:rsid w:val="00CC5789"/>
    <w:rsid w:val="00CD0C9F"/>
    <w:rsid w:val="00CD61A6"/>
    <w:rsid w:val="00CD728F"/>
    <w:rsid w:val="00CD787F"/>
    <w:rsid w:val="00CD7AE9"/>
    <w:rsid w:val="00CD7E4A"/>
    <w:rsid w:val="00CE6626"/>
    <w:rsid w:val="00CF0A14"/>
    <w:rsid w:val="00CF5311"/>
    <w:rsid w:val="00CF533F"/>
    <w:rsid w:val="00D267FC"/>
    <w:rsid w:val="00D27390"/>
    <w:rsid w:val="00D27FEF"/>
    <w:rsid w:val="00D376E2"/>
    <w:rsid w:val="00D62638"/>
    <w:rsid w:val="00D63FDB"/>
    <w:rsid w:val="00D764A7"/>
    <w:rsid w:val="00D955F5"/>
    <w:rsid w:val="00DA5AF5"/>
    <w:rsid w:val="00DA7F89"/>
    <w:rsid w:val="00DB077D"/>
    <w:rsid w:val="00DB561C"/>
    <w:rsid w:val="00DB6317"/>
    <w:rsid w:val="00DC6F13"/>
    <w:rsid w:val="00DD1668"/>
    <w:rsid w:val="00DD4B7C"/>
    <w:rsid w:val="00DD5C05"/>
    <w:rsid w:val="00DE3A5B"/>
    <w:rsid w:val="00DE4B1E"/>
    <w:rsid w:val="00DE5A3C"/>
    <w:rsid w:val="00DF6567"/>
    <w:rsid w:val="00E1368E"/>
    <w:rsid w:val="00E207CA"/>
    <w:rsid w:val="00E3111A"/>
    <w:rsid w:val="00E379EE"/>
    <w:rsid w:val="00E51A3F"/>
    <w:rsid w:val="00E60849"/>
    <w:rsid w:val="00E65FEF"/>
    <w:rsid w:val="00E9673A"/>
    <w:rsid w:val="00EC1E07"/>
    <w:rsid w:val="00EC432B"/>
    <w:rsid w:val="00ED2E7D"/>
    <w:rsid w:val="00EF176D"/>
    <w:rsid w:val="00EF2702"/>
    <w:rsid w:val="00EF3150"/>
    <w:rsid w:val="00F03996"/>
    <w:rsid w:val="00F067C2"/>
    <w:rsid w:val="00F07AB8"/>
    <w:rsid w:val="00F12B71"/>
    <w:rsid w:val="00F23C2F"/>
    <w:rsid w:val="00F33DB9"/>
    <w:rsid w:val="00F4109D"/>
    <w:rsid w:val="00F453D9"/>
    <w:rsid w:val="00F51227"/>
    <w:rsid w:val="00F74BF8"/>
    <w:rsid w:val="00F80D99"/>
    <w:rsid w:val="00F94F8A"/>
    <w:rsid w:val="00FA5043"/>
    <w:rsid w:val="00FB5D4E"/>
    <w:rsid w:val="00FB66C6"/>
    <w:rsid w:val="00FB77B1"/>
    <w:rsid w:val="00FC0652"/>
    <w:rsid w:val="00FC258F"/>
    <w:rsid w:val="00FF0AEC"/>
    <w:rsid w:val="042D1E11"/>
    <w:rsid w:val="23DCE148"/>
    <w:rsid w:val="2A11757A"/>
    <w:rsid w:val="2C813BDB"/>
    <w:rsid w:val="387BF2CC"/>
    <w:rsid w:val="3B99E273"/>
    <w:rsid w:val="3BE8F155"/>
    <w:rsid w:val="3D0959A5"/>
    <w:rsid w:val="60EE283F"/>
    <w:rsid w:val="664711FA"/>
    <w:rsid w:val="6A8F59CF"/>
    <w:rsid w:val="753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C1E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1E0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1E07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1E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1E07"/>
    <w:rPr>
      <w:b/>
      <w:bCs/>
      <w:color w:val="4A4A49"/>
      <w:sz w:val="20"/>
      <w:szCs w:val="20"/>
    </w:rPr>
  </w:style>
  <w:style w:type="paragraph" w:styleId="Revisione">
    <w:name w:val="Revision"/>
    <w:hidden/>
    <w:uiPriority w:val="99"/>
    <w:semiHidden/>
    <w:rsid w:val="00AF2EDC"/>
    <w:pPr>
      <w:spacing w:after="0" w:line="240" w:lineRule="auto"/>
    </w:pPr>
    <w:rPr>
      <w:color w:val="4A4A49"/>
    </w:rPr>
  </w:style>
  <w:style w:type="paragraph" w:styleId="NormaleWeb">
    <w:name w:val="Normal (Web)"/>
    <w:basedOn w:val="Normale"/>
    <w:uiPriority w:val="99"/>
    <w:semiHidden/>
    <w:unhideWhenUsed/>
    <w:rsid w:val="00F039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schaefflergroup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chaeffler.com/en/group/sustainability/" TargetMode="External"/><Relationship Id="rId17" Type="http://schemas.openxmlformats.org/officeDocument/2006/relationships/hyperlink" Target="http://www.schaeffler.com" TargetMode="External"/><Relationship Id="rId25" Type="http://schemas.openxmlformats.org/officeDocument/2006/relationships/hyperlink" Target="https://www.instagram.com/schaefflergroup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a.zucchetti@schaeffler.com" TargetMode="External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haeffler.com/en/media/media-library/?filter=searchString:EnEHS&amp;tab=mediathek-pub&amp;subfilter=app:dc;language-vid:167;language-pub:167;mediatyp-pub:all;referencetyp-pub:0&amp;uid=88061127" TargetMode="External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yperlink" Target="https://www.facebook.com/SchaefflerGroup" TargetMode="External"/><Relationship Id="rId28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hyperlink" Target="http://www.linkedin.com/company/schaeffler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6.png"/><Relationship Id="rId27" Type="http://schemas.openxmlformats.org/officeDocument/2006/relationships/hyperlink" Target="https://www.youtube.com/user/SchaefflerGlobal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ab213ed85d1f5e3af22d2afe6825b7a1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a8714bea9ec67d08f4e34cb035c0b2a9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BE61-B6C3-44FC-84B0-616B702BBB81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854b767-593a-45dd-9e7e-7950f3ca7607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876EAF-B413-46C7-851B-7540470F6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4D4C6-3C8D-4509-AAC9-56E1A6348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EDCB1-3864-47B9-8335-2E99A978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16</cp:revision>
  <cp:lastPrinted>2019-08-08T07:50:00Z</cp:lastPrinted>
  <dcterms:created xsi:type="dcterms:W3CDTF">2026-01-07T09:28:00Z</dcterms:created>
  <dcterms:modified xsi:type="dcterms:W3CDTF">2026-01-23T12:52:00Z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2021-05-26T06:59:02Z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2741c53a-610f-4cd1-ab58-8627a8d6cbff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0x0101002706170F1EC3AA48B77CCF8D58F498A6</vt:lpwstr>
  </property>
  <property fmtid="{D5CDD505-2E9C-101B-9397-08002B2CF9AE}" pid="11" name="MediaServiceImageTags">
    <vt:lpwstr/>
  </property>
</Properties>
</file>