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316E" w14:textId="6CD4F41E" w:rsidR="00C04CF2" w:rsidRPr="00EA5885" w:rsidRDefault="00C04CF2">
      <w:pPr>
        <w:rPr>
          <w:lang w:val="it-IT"/>
        </w:rPr>
      </w:pPr>
      <w:r w:rsidRPr="00EA5885">
        <w:rPr>
          <w:noProof/>
          <w:lang w:val="it-IT"/>
        </w:rPr>
        <w:drawing>
          <wp:inline distT="0" distB="0" distL="0" distR="0" wp14:anchorId="40A614B7" wp14:editId="3E758706">
            <wp:extent cx="1652045" cy="912963"/>
            <wp:effectExtent l="0" t="0" r="0" b="1905"/>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5918" cy="948261"/>
                    </a:xfrm>
                    <a:prstGeom prst="rect">
                      <a:avLst/>
                    </a:prstGeom>
                  </pic:spPr>
                </pic:pic>
              </a:graphicData>
            </a:graphic>
          </wp:inline>
        </w:drawing>
      </w:r>
    </w:p>
    <w:p w14:paraId="688C3568" w14:textId="3B0CFC2E" w:rsidR="00C04CF2" w:rsidRPr="00183D39" w:rsidRDefault="00183D39" w:rsidP="00183D39">
      <w:pPr>
        <w:jc w:val="right"/>
        <w:rPr>
          <w:b/>
          <w:bCs/>
          <w:lang w:val="it-IT"/>
        </w:rPr>
      </w:pPr>
      <w:r w:rsidRPr="00183D39">
        <w:rPr>
          <w:b/>
          <w:bCs/>
          <w:lang w:val="it-IT"/>
        </w:rPr>
        <w:t>COMUNICATO STAMPA</w:t>
      </w:r>
    </w:p>
    <w:p w14:paraId="56DF7379" w14:textId="77777777" w:rsidR="00183D39" w:rsidRDefault="00183D39" w:rsidP="00C04CF2">
      <w:pPr>
        <w:jc w:val="center"/>
        <w:rPr>
          <w:rFonts w:ascii="Arial" w:hAnsi="Arial" w:cs="Arial"/>
          <w:b/>
          <w:bCs/>
          <w:sz w:val="28"/>
          <w:szCs w:val="28"/>
          <w:lang w:val="it-IT"/>
        </w:rPr>
      </w:pPr>
    </w:p>
    <w:p w14:paraId="0189C5ED" w14:textId="7C334B5F" w:rsidR="00757EA1" w:rsidRPr="00EA5885" w:rsidRDefault="00935E2A" w:rsidP="00C04CF2">
      <w:pPr>
        <w:jc w:val="center"/>
        <w:rPr>
          <w:rFonts w:ascii="Arial" w:hAnsi="Arial" w:cs="Arial"/>
          <w:lang w:val="it-IT"/>
        </w:rPr>
      </w:pPr>
      <w:r w:rsidRPr="00EA5885">
        <w:rPr>
          <w:rFonts w:ascii="Arial" w:hAnsi="Arial" w:cs="Arial"/>
          <w:b/>
          <w:bCs/>
          <w:sz w:val="28"/>
          <w:szCs w:val="28"/>
          <w:lang w:val="it-IT"/>
        </w:rPr>
        <w:t xml:space="preserve">Artemis </w:t>
      </w:r>
      <w:r w:rsidR="00FD3E7F">
        <w:rPr>
          <w:rFonts w:ascii="Arial" w:hAnsi="Arial" w:cs="Arial"/>
          <w:b/>
          <w:bCs/>
          <w:sz w:val="28"/>
          <w:szCs w:val="28"/>
          <w:lang w:val="it-IT"/>
        </w:rPr>
        <w:t>annuncia</w:t>
      </w:r>
      <w:r w:rsidRPr="00EA5885">
        <w:rPr>
          <w:rFonts w:ascii="Arial" w:hAnsi="Arial" w:cs="Arial"/>
          <w:b/>
          <w:bCs/>
          <w:sz w:val="28"/>
          <w:szCs w:val="28"/>
          <w:lang w:val="it-IT"/>
        </w:rPr>
        <w:t xml:space="preserve"> il fondo Emerging Markets ex China</w:t>
      </w:r>
    </w:p>
    <w:p w14:paraId="5A43A62D" w14:textId="0CADFC7A" w:rsidR="00BA1E7F" w:rsidRPr="00EA5885" w:rsidRDefault="00183D39">
      <w:pPr>
        <w:rPr>
          <w:rFonts w:ascii="Arial" w:hAnsi="Arial" w:cs="Arial"/>
          <w:lang w:val="it-IT"/>
        </w:rPr>
      </w:pPr>
      <w:r>
        <w:rPr>
          <w:rFonts w:ascii="Arial" w:hAnsi="Arial" w:cs="Arial"/>
          <w:lang w:val="it-IT"/>
        </w:rPr>
        <w:t xml:space="preserve">Londra, 12 gennaio 2025 - </w:t>
      </w:r>
      <w:r w:rsidR="00BA1E7F" w:rsidRPr="00BA1E7F">
        <w:rPr>
          <w:rFonts w:ascii="Arial" w:hAnsi="Arial" w:cs="Arial"/>
          <w:lang w:val="it-IT"/>
        </w:rPr>
        <w:t xml:space="preserve">Artemis </w:t>
      </w:r>
      <w:r w:rsidR="00FD3E7F">
        <w:rPr>
          <w:rFonts w:ascii="Arial" w:hAnsi="Arial" w:cs="Arial"/>
          <w:lang w:val="it-IT"/>
        </w:rPr>
        <w:t>risponde</w:t>
      </w:r>
      <w:r w:rsidR="00BA1E7F" w:rsidRPr="00BA1E7F">
        <w:rPr>
          <w:rFonts w:ascii="Arial" w:hAnsi="Arial" w:cs="Arial"/>
          <w:lang w:val="it-IT"/>
        </w:rPr>
        <w:t xml:space="preserve"> all</w:t>
      </w:r>
      <w:r w:rsidR="00BA1E7F">
        <w:rPr>
          <w:rFonts w:ascii="Arial" w:hAnsi="Arial" w:cs="Arial"/>
          <w:lang w:val="it-IT"/>
        </w:rPr>
        <w:t xml:space="preserve">’esigenza </w:t>
      </w:r>
      <w:r w:rsidR="00BA1E7F" w:rsidRPr="00BA1E7F">
        <w:rPr>
          <w:rFonts w:ascii="Arial" w:hAnsi="Arial" w:cs="Arial"/>
          <w:lang w:val="it-IT"/>
        </w:rPr>
        <w:t xml:space="preserve">dei clienti </w:t>
      </w:r>
      <w:r w:rsidR="00BA1E7F">
        <w:rPr>
          <w:rFonts w:ascii="Arial" w:hAnsi="Arial" w:cs="Arial"/>
          <w:lang w:val="it-IT"/>
        </w:rPr>
        <w:t>annunciando</w:t>
      </w:r>
      <w:r w:rsidR="00BA1E7F" w:rsidRPr="00BA1E7F">
        <w:rPr>
          <w:rFonts w:ascii="Arial" w:hAnsi="Arial" w:cs="Arial"/>
          <w:lang w:val="it-IT"/>
        </w:rPr>
        <w:t xml:space="preserve"> la seconda strategia </w:t>
      </w:r>
      <w:r w:rsidR="00BA1E7F">
        <w:rPr>
          <w:rFonts w:ascii="Arial" w:hAnsi="Arial" w:cs="Arial"/>
          <w:lang w:val="it-IT"/>
        </w:rPr>
        <w:t>dedicata ai</w:t>
      </w:r>
      <w:r w:rsidR="00BA1E7F" w:rsidRPr="00BA1E7F">
        <w:rPr>
          <w:rFonts w:ascii="Arial" w:hAnsi="Arial" w:cs="Arial"/>
          <w:lang w:val="it-IT"/>
        </w:rPr>
        <w:t xml:space="preserve"> mercati emergenti, il fondo Artemis Funds (Lux) SmartGARP Global Emerging Markets ex China Equity</w:t>
      </w:r>
      <w:r w:rsidR="0050657D">
        <w:rPr>
          <w:rFonts w:ascii="Arial" w:hAnsi="Arial" w:cs="Arial"/>
          <w:lang w:val="it-IT"/>
        </w:rPr>
        <w:t>.</w:t>
      </w:r>
    </w:p>
    <w:p w14:paraId="03E72035" w14:textId="593A0BD2" w:rsidR="00843734" w:rsidRPr="00EA5885" w:rsidRDefault="00935E2A">
      <w:pPr>
        <w:rPr>
          <w:rFonts w:ascii="Arial" w:hAnsi="Arial" w:cs="Arial"/>
          <w:lang w:val="it-IT"/>
        </w:rPr>
      </w:pPr>
      <w:r w:rsidRPr="00EA5885">
        <w:rPr>
          <w:rFonts w:ascii="Arial" w:hAnsi="Arial" w:cs="Arial"/>
          <w:lang w:val="it-IT"/>
        </w:rPr>
        <w:t xml:space="preserve">Il </w:t>
      </w:r>
      <w:r w:rsidR="00D93278">
        <w:rPr>
          <w:rFonts w:ascii="Arial" w:hAnsi="Arial" w:cs="Arial"/>
          <w:lang w:val="it-IT"/>
        </w:rPr>
        <w:t xml:space="preserve">gestore del </w:t>
      </w:r>
      <w:r w:rsidRPr="00EA5885">
        <w:rPr>
          <w:rFonts w:ascii="Arial" w:hAnsi="Arial" w:cs="Arial"/>
          <w:lang w:val="it-IT"/>
        </w:rPr>
        <w:t xml:space="preserve">fondo è Raheel Altaf, responsabile anche dell’Artemis </w:t>
      </w:r>
      <w:r w:rsidR="001B2435" w:rsidRPr="00BA1E7F">
        <w:rPr>
          <w:rFonts w:ascii="Arial" w:hAnsi="Arial" w:cs="Arial"/>
          <w:lang w:val="it-IT"/>
        </w:rPr>
        <w:t>SmartGARP</w:t>
      </w:r>
      <w:r w:rsidR="001B2435" w:rsidRPr="00EA5885">
        <w:rPr>
          <w:rFonts w:ascii="Arial" w:hAnsi="Arial" w:cs="Arial"/>
          <w:lang w:val="it-IT"/>
        </w:rPr>
        <w:t xml:space="preserve"> </w:t>
      </w:r>
      <w:r w:rsidRPr="00EA5885">
        <w:rPr>
          <w:rFonts w:ascii="Arial" w:hAnsi="Arial" w:cs="Arial"/>
          <w:lang w:val="it-IT"/>
        </w:rPr>
        <w:t xml:space="preserve">Global Emerging Markets Equity Fund e della corrispondente strategia Sicav, che complessivamente </w:t>
      </w:r>
      <w:r w:rsidR="00D93278">
        <w:rPr>
          <w:rFonts w:ascii="Arial" w:hAnsi="Arial" w:cs="Arial"/>
          <w:lang w:val="it-IT"/>
        </w:rPr>
        <w:t>hanno masse gestite pari a</w:t>
      </w:r>
      <w:r w:rsidRPr="00EA5885">
        <w:rPr>
          <w:rFonts w:ascii="Arial" w:hAnsi="Arial" w:cs="Arial"/>
          <w:lang w:val="it-IT"/>
        </w:rPr>
        <w:t xml:space="preserve"> 2,</w:t>
      </w:r>
      <w:r w:rsidR="00FD3E7F">
        <w:rPr>
          <w:rFonts w:ascii="Arial" w:hAnsi="Arial" w:cs="Arial"/>
          <w:lang w:val="it-IT"/>
        </w:rPr>
        <w:t>7</w:t>
      </w:r>
      <w:r w:rsidRPr="00EA5885">
        <w:rPr>
          <w:rFonts w:ascii="Arial" w:hAnsi="Arial" w:cs="Arial"/>
          <w:lang w:val="it-IT"/>
        </w:rPr>
        <w:t xml:space="preserve"> miliardi di sterline</w:t>
      </w:r>
      <w:r w:rsidR="001D1B14" w:rsidRPr="00EA5885">
        <w:rPr>
          <w:rFonts w:ascii="Arial" w:hAnsi="Arial" w:cs="Arial"/>
          <w:lang w:val="it-IT"/>
        </w:rPr>
        <w:t>.</w:t>
      </w:r>
    </w:p>
    <w:p w14:paraId="08F4F205" w14:textId="4E0E6DA0" w:rsidR="00757EA1" w:rsidRPr="00EA5885" w:rsidRDefault="0012246F">
      <w:pPr>
        <w:rPr>
          <w:rFonts w:ascii="Arial" w:hAnsi="Arial" w:cs="Arial"/>
          <w:lang w:val="it-IT"/>
        </w:rPr>
      </w:pPr>
      <w:r w:rsidRPr="00EA5885">
        <w:rPr>
          <w:rFonts w:ascii="Arial" w:hAnsi="Arial" w:cs="Arial"/>
          <w:lang w:val="it-IT"/>
        </w:rPr>
        <w:t xml:space="preserve">Raheel </w:t>
      </w:r>
      <w:r w:rsidR="00170535" w:rsidRPr="002D22B9">
        <w:rPr>
          <w:rFonts w:ascii="Arial" w:hAnsi="Arial" w:cs="Arial"/>
          <w:lang w:val="it-IT"/>
        </w:rPr>
        <w:t xml:space="preserve">Altaf sarà affiancato dal team SmartGARP, composto dagli analisti </w:t>
      </w:r>
      <w:r w:rsidR="001E6125" w:rsidRPr="00EA5885">
        <w:rPr>
          <w:rFonts w:ascii="Arial" w:hAnsi="Arial" w:cs="Arial"/>
          <w:lang w:val="it-IT"/>
        </w:rPr>
        <w:t xml:space="preserve">Aalok </w:t>
      </w:r>
      <w:r w:rsidR="006B6CA1" w:rsidRPr="00EA5885">
        <w:rPr>
          <w:rFonts w:ascii="Arial" w:hAnsi="Arial" w:cs="Arial"/>
          <w:lang w:val="it-IT"/>
        </w:rPr>
        <w:t xml:space="preserve">Sathe, </w:t>
      </w:r>
      <w:r w:rsidR="002E7D42" w:rsidRPr="00EA5885">
        <w:rPr>
          <w:rFonts w:ascii="Arial" w:hAnsi="Arial" w:cs="Arial"/>
          <w:lang w:val="it-IT"/>
        </w:rPr>
        <w:t xml:space="preserve">Laura Corbetta </w:t>
      </w:r>
      <w:r w:rsidR="00D93278">
        <w:rPr>
          <w:rFonts w:ascii="Arial" w:hAnsi="Arial" w:cs="Arial"/>
          <w:lang w:val="it-IT"/>
        </w:rPr>
        <w:t>e</w:t>
      </w:r>
      <w:r w:rsidR="009D6DE3" w:rsidRPr="00EA5885">
        <w:rPr>
          <w:rFonts w:ascii="Arial" w:hAnsi="Arial" w:cs="Arial"/>
          <w:lang w:val="it-IT"/>
        </w:rPr>
        <w:t xml:space="preserve"> Harry Eastwood.</w:t>
      </w:r>
    </w:p>
    <w:p w14:paraId="302A9EE3" w14:textId="394C7907" w:rsidR="009D6DE3" w:rsidRPr="00EA5885" w:rsidRDefault="009B5CD8" w:rsidP="00935E2A">
      <w:pPr>
        <w:rPr>
          <w:rFonts w:ascii="Arial" w:hAnsi="Arial" w:cs="Arial"/>
          <w:lang w:val="it-IT"/>
        </w:rPr>
      </w:pPr>
      <w:r w:rsidRPr="00EA5885">
        <w:rPr>
          <w:rFonts w:ascii="Arial" w:hAnsi="Arial" w:cs="Arial"/>
          <w:lang w:val="it-IT"/>
        </w:rPr>
        <w:t xml:space="preserve">Harry </w:t>
      </w:r>
      <w:r w:rsidR="00935E2A" w:rsidRPr="00EA5885">
        <w:rPr>
          <w:rFonts w:ascii="Arial" w:hAnsi="Arial" w:cs="Arial"/>
          <w:lang w:val="it-IT"/>
        </w:rPr>
        <w:t xml:space="preserve">Eastwood ha dichiarato: "Il fondo è stato concepito per i clienti che apprezzano </w:t>
      </w:r>
      <w:r w:rsidR="00D93278">
        <w:rPr>
          <w:rFonts w:ascii="Arial" w:hAnsi="Arial" w:cs="Arial"/>
          <w:lang w:val="it-IT"/>
        </w:rPr>
        <w:t xml:space="preserve">i </w:t>
      </w:r>
      <w:r w:rsidR="00935E2A" w:rsidRPr="00EA5885">
        <w:rPr>
          <w:rFonts w:ascii="Arial" w:hAnsi="Arial" w:cs="Arial"/>
          <w:lang w:val="it-IT"/>
        </w:rPr>
        <w:t>portafogli differenziati costruiti attraverso il processo SmartGARP"</w:t>
      </w:r>
      <w:r w:rsidR="00ED41F3" w:rsidRPr="00EA5885">
        <w:rPr>
          <w:rFonts w:ascii="Arial" w:hAnsi="Arial" w:cs="Arial"/>
          <w:lang w:val="it-IT"/>
        </w:rPr>
        <w:t>.</w:t>
      </w:r>
    </w:p>
    <w:p w14:paraId="2C633D75" w14:textId="223010F7" w:rsidR="003F54CD" w:rsidRDefault="003F54CD">
      <w:pPr>
        <w:rPr>
          <w:rFonts w:ascii="Arial" w:hAnsi="Arial" w:cs="Arial"/>
          <w:lang w:val="it-IT"/>
        </w:rPr>
      </w:pPr>
      <w:r w:rsidRPr="003F54CD">
        <w:rPr>
          <w:rFonts w:ascii="Arial" w:hAnsi="Arial" w:cs="Arial"/>
          <w:lang w:val="it-IT"/>
        </w:rPr>
        <w:t>"La Cina si è sviluppata notevolmente come mercato in cui investire nel decennio trascorso dal lancio dell'Artemis Global Emerging Markets Equity Fund. Di conseguenza, alcuni investitori preferiscono avere un'allocazione separata in Cina, mentre altri sono soddisfatti di ottenere la propria esposizione tramite un ampio fondo globale sui mercati emergenti. In definitiva, si tratta di offrire agli investitori una maggiore scelta."</w:t>
      </w:r>
    </w:p>
    <w:p w14:paraId="2C0ECE7B" w14:textId="77777777" w:rsidR="00497879" w:rsidRPr="00EA5885" w:rsidRDefault="00497879" w:rsidP="00497879">
      <w:pPr>
        <w:rPr>
          <w:rFonts w:ascii="Arial" w:hAnsi="Arial" w:cs="Arial"/>
          <w:lang w:val="it-IT"/>
        </w:rPr>
      </w:pPr>
      <w:r w:rsidRPr="00EA5885">
        <w:rPr>
          <w:rFonts w:ascii="Arial" w:hAnsi="Arial" w:cs="Arial"/>
          <w:lang w:val="it-IT"/>
        </w:rPr>
        <w:t>Il fondo Artemis Funds (Lux) SmartGARP Global Emerging Markets ex China Equity utilizzerà l’MSCI Emerging Markets ex China come indice di riferimento.</w:t>
      </w:r>
    </w:p>
    <w:p w14:paraId="60377FFC" w14:textId="77777777" w:rsidR="006C7864" w:rsidRPr="00EA5885" w:rsidRDefault="006C7864" w:rsidP="006C7864">
      <w:pPr>
        <w:rPr>
          <w:rFonts w:ascii="Arial" w:hAnsi="Arial" w:cs="Arial"/>
          <w:lang w:val="it-IT"/>
        </w:rPr>
      </w:pPr>
      <w:r>
        <w:rPr>
          <w:rFonts w:ascii="Arial" w:hAnsi="Arial" w:cs="Arial"/>
          <w:lang w:val="it-IT"/>
        </w:rPr>
        <w:t xml:space="preserve">Gli investimenti avverranno </w:t>
      </w:r>
      <w:r w:rsidRPr="00EA5885">
        <w:rPr>
          <w:rFonts w:ascii="Arial" w:hAnsi="Arial" w:cs="Arial"/>
          <w:lang w:val="it-IT"/>
        </w:rPr>
        <w:t>prevalentemente (almeno l’80% delle masse gestite) in azioni di società quotate</w:t>
      </w:r>
      <w:r>
        <w:rPr>
          <w:rFonts w:ascii="Arial" w:hAnsi="Arial" w:cs="Arial"/>
          <w:lang w:val="it-IT"/>
        </w:rPr>
        <w:t>,</w:t>
      </w:r>
      <w:r w:rsidRPr="00EA5885">
        <w:rPr>
          <w:rFonts w:ascii="Arial" w:hAnsi="Arial" w:cs="Arial"/>
          <w:lang w:val="it-IT"/>
        </w:rPr>
        <w:t xml:space="preserve"> che hanno sede o </w:t>
      </w:r>
      <w:r>
        <w:rPr>
          <w:rFonts w:ascii="Arial" w:hAnsi="Arial" w:cs="Arial"/>
          <w:lang w:val="it-IT"/>
        </w:rPr>
        <w:t xml:space="preserve">che </w:t>
      </w:r>
      <w:r w:rsidRPr="00EA5885">
        <w:rPr>
          <w:rFonts w:ascii="Arial" w:hAnsi="Arial" w:cs="Arial"/>
          <w:lang w:val="it-IT"/>
        </w:rPr>
        <w:t>svolgono una parte rilevante delle proprie attività nei mercati emergenti, esclusa la Cina.</w:t>
      </w:r>
    </w:p>
    <w:p w14:paraId="241B310A" w14:textId="77777777" w:rsidR="00497879" w:rsidRPr="00497879" w:rsidRDefault="00497879" w:rsidP="00497879">
      <w:pPr>
        <w:rPr>
          <w:rFonts w:ascii="Arial" w:hAnsi="Arial" w:cs="Arial"/>
          <w:lang w:val="it-IT"/>
        </w:rPr>
      </w:pPr>
      <w:r w:rsidRPr="00497879">
        <w:rPr>
          <w:rFonts w:ascii="Arial" w:hAnsi="Arial" w:cs="Arial"/>
          <w:lang w:val="it-IT"/>
        </w:rPr>
        <w:t>Ciò si riferisce ai paesi inclusi nell'indice di riferimento; ai paesi inclusi nella definizione di economie in via di sviluppo della Banca Mondiale; e ai paesi che, a giudizio del gestore degli investimenti, sono economie in via di sviluppo.</w:t>
      </w:r>
    </w:p>
    <w:p w14:paraId="457210E9" w14:textId="0B3A2B55" w:rsidR="00497879" w:rsidRDefault="00497879" w:rsidP="00497879">
      <w:pPr>
        <w:rPr>
          <w:rFonts w:ascii="Arial" w:hAnsi="Arial" w:cs="Arial"/>
          <w:lang w:val="it-IT"/>
        </w:rPr>
      </w:pPr>
      <w:r w:rsidRPr="00497879">
        <w:rPr>
          <w:rFonts w:ascii="Arial" w:hAnsi="Arial" w:cs="Arial"/>
          <w:lang w:val="it-IT"/>
        </w:rPr>
        <w:t>Il fondo può investire in società a piccola e media capitalizzazione. Non vi sono restrizioni o vincoli in termini di capitalizzazione di mercato.</w:t>
      </w:r>
    </w:p>
    <w:p w14:paraId="3CA2F0B2" w14:textId="77777777" w:rsidR="00497879" w:rsidRDefault="00497879">
      <w:pPr>
        <w:rPr>
          <w:rFonts w:ascii="Arial" w:hAnsi="Arial" w:cs="Arial"/>
          <w:lang w:val="it-IT"/>
        </w:rPr>
      </w:pPr>
    </w:p>
    <w:p w14:paraId="4C5911BA" w14:textId="77777777" w:rsidR="00497879" w:rsidRDefault="00497879">
      <w:pPr>
        <w:rPr>
          <w:rFonts w:ascii="Arial" w:hAnsi="Arial" w:cs="Arial"/>
          <w:lang w:val="it-IT"/>
        </w:rPr>
      </w:pPr>
    </w:p>
    <w:p w14:paraId="66889F6F" w14:textId="77777777" w:rsidR="00497879" w:rsidRDefault="00497879">
      <w:pPr>
        <w:rPr>
          <w:rFonts w:ascii="Arial" w:hAnsi="Arial" w:cs="Arial"/>
          <w:lang w:val="it-IT"/>
        </w:rPr>
      </w:pPr>
    </w:p>
    <w:p w14:paraId="1DC453A0" w14:textId="3ED49133" w:rsidR="002020C5" w:rsidRPr="00EA5885" w:rsidRDefault="00D93278">
      <w:pPr>
        <w:rPr>
          <w:rFonts w:ascii="Arial" w:hAnsi="Arial" w:cs="Arial"/>
          <w:lang w:val="it-IT"/>
        </w:rPr>
      </w:pPr>
      <w:r>
        <w:rPr>
          <w:rFonts w:ascii="Arial" w:hAnsi="Arial" w:cs="Arial"/>
          <w:lang w:val="it-IT"/>
        </w:rPr>
        <w:t xml:space="preserve">Gli investimenti avverranno </w:t>
      </w:r>
      <w:r w:rsidR="001120AC" w:rsidRPr="00EA5885">
        <w:rPr>
          <w:rFonts w:ascii="Arial" w:hAnsi="Arial" w:cs="Arial"/>
          <w:lang w:val="it-IT"/>
        </w:rPr>
        <w:t>prevalentemente (almeno l’80% delle masse gestite) in azioni di società quotate</w:t>
      </w:r>
      <w:r w:rsidR="00170535">
        <w:rPr>
          <w:rFonts w:ascii="Arial" w:hAnsi="Arial" w:cs="Arial"/>
          <w:lang w:val="it-IT"/>
        </w:rPr>
        <w:t>,</w:t>
      </w:r>
      <w:r w:rsidR="001120AC" w:rsidRPr="00EA5885">
        <w:rPr>
          <w:rFonts w:ascii="Arial" w:hAnsi="Arial" w:cs="Arial"/>
          <w:lang w:val="it-IT"/>
        </w:rPr>
        <w:t xml:space="preserve"> che hanno sede o </w:t>
      </w:r>
      <w:r w:rsidR="00170535">
        <w:rPr>
          <w:rFonts w:ascii="Arial" w:hAnsi="Arial" w:cs="Arial"/>
          <w:lang w:val="it-IT"/>
        </w:rPr>
        <w:t xml:space="preserve">che </w:t>
      </w:r>
      <w:r w:rsidR="001120AC" w:rsidRPr="00EA5885">
        <w:rPr>
          <w:rFonts w:ascii="Arial" w:hAnsi="Arial" w:cs="Arial"/>
          <w:lang w:val="it-IT"/>
        </w:rPr>
        <w:t>svolgono una parte rilevante delle proprie attività nei mercati emergenti, esclusa la Cina</w:t>
      </w:r>
      <w:r w:rsidR="002020C5" w:rsidRPr="00EA5885">
        <w:rPr>
          <w:rFonts w:ascii="Arial" w:hAnsi="Arial" w:cs="Arial"/>
          <w:lang w:val="it-IT"/>
        </w:rPr>
        <w:t>.</w:t>
      </w:r>
    </w:p>
    <w:p w14:paraId="21C10186" w14:textId="0AEC0774" w:rsidR="0091146F" w:rsidRPr="00EA5885" w:rsidRDefault="008D55EA">
      <w:pPr>
        <w:rPr>
          <w:rFonts w:ascii="Arial" w:hAnsi="Arial" w:cs="Arial"/>
          <w:lang w:val="it-IT"/>
        </w:rPr>
      </w:pPr>
      <w:r>
        <w:rPr>
          <w:rFonts w:ascii="Arial" w:hAnsi="Arial" w:cs="Arial"/>
          <w:lang w:val="it-IT"/>
        </w:rPr>
        <w:t>Più precisamente</w:t>
      </w:r>
      <w:r w:rsidR="00D93278">
        <w:rPr>
          <w:rFonts w:ascii="Arial" w:hAnsi="Arial" w:cs="Arial"/>
          <w:lang w:val="it-IT"/>
        </w:rPr>
        <w:t>, si investirà nei</w:t>
      </w:r>
      <w:r w:rsidR="001120AC" w:rsidRPr="00EA5885">
        <w:rPr>
          <w:rFonts w:ascii="Arial" w:hAnsi="Arial" w:cs="Arial"/>
          <w:lang w:val="it-IT"/>
        </w:rPr>
        <w:t xml:space="preserve"> Paesi inclusi nell’indice di riferimento, </w:t>
      </w:r>
      <w:r w:rsidR="00D93278">
        <w:rPr>
          <w:rFonts w:ascii="Arial" w:hAnsi="Arial" w:cs="Arial"/>
          <w:lang w:val="it-IT"/>
        </w:rPr>
        <w:t>nelle</w:t>
      </w:r>
      <w:r w:rsidR="001120AC" w:rsidRPr="00EA5885">
        <w:rPr>
          <w:rFonts w:ascii="Arial" w:hAnsi="Arial" w:cs="Arial"/>
          <w:lang w:val="it-IT"/>
        </w:rPr>
        <w:t xml:space="preserve"> economie </w:t>
      </w:r>
      <w:r w:rsidR="00D93278">
        <w:rPr>
          <w:rFonts w:ascii="Arial" w:hAnsi="Arial" w:cs="Arial"/>
          <w:lang w:val="it-IT"/>
        </w:rPr>
        <w:t xml:space="preserve">considerate </w:t>
      </w:r>
      <w:r w:rsidR="001120AC" w:rsidRPr="00EA5885">
        <w:rPr>
          <w:rFonts w:ascii="Arial" w:hAnsi="Arial" w:cs="Arial"/>
          <w:lang w:val="it-IT"/>
        </w:rPr>
        <w:t>in via di sviluppo</w:t>
      </w:r>
      <w:r w:rsidR="00D93278">
        <w:rPr>
          <w:rFonts w:ascii="Arial" w:hAnsi="Arial" w:cs="Arial"/>
          <w:lang w:val="it-IT"/>
        </w:rPr>
        <w:t xml:space="preserve"> dalla</w:t>
      </w:r>
      <w:r w:rsidR="001120AC" w:rsidRPr="00EA5885">
        <w:rPr>
          <w:rFonts w:ascii="Arial" w:hAnsi="Arial" w:cs="Arial"/>
          <w:lang w:val="it-IT"/>
        </w:rPr>
        <w:t xml:space="preserve"> Banca Mondiale e</w:t>
      </w:r>
      <w:r w:rsidR="00AD29AB" w:rsidRPr="00EA5885">
        <w:rPr>
          <w:rFonts w:ascii="Arial" w:hAnsi="Arial" w:cs="Arial"/>
          <w:lang w:val="it-IT"/>
        </w:rPr>
        <w:t xml:space="preserve"> </w:t>
      </w:r>
      <w:r w:rsidR="00582C71">
        <w:rPr>
          <w:rFonts w:ascii="Arial" w:hAnsi="Arial" w:cs="Arial"/>
          <w:lang w:val="it-IT"/>
        </w:rPr>
        <w:t xml:space="preserve">in quelle </w:t>
      </w:r>
      <w:r w:rsidR="00D93278">
        <w:rPr>
          <w:rFonts w:ascii="Arial" w:hAnsi="Arial" w:cs="Arial"/>
          <w:lang w:val="it-IT"/>
        </w:rPr>
        <w:t xml:space="preserve">ritenute tali dal </w:t>
      </w:r>
      <w:r w:rsidR="001120AC" w:rsidRPr="00EA5885">
        <w:rPr>
          <w:rFonts w:ascii="Arial" w:hAnsi="Arial" w:cs="Arial"/>
          <w:lang w:val="it-IT"/>
        </w:rPr>
        <w:t>Gestore degli investimenti</w:t>
      </w:r>
      <w:r w:rsidR="00C50958" w:rsidRPr="00EA5885">
        <w:rPr>
          <w:rFonts w:ascii="Arial" w:hAnsi="Arial" w:cs="Arial"/>
          <w:lang w:val="it-IT"/>
        </w:rPr>
        <w:t xml:space="preserve">. </w:t>
      </w:r>
    </w:p>
    <w:p w14:paraId="15516969" w14:textId="3B0FC6AB" w:rsidR="005374CA" w:rsidRPr="00EA5885" w:rsidRDefault="001120AC" w:rsidP="00124DDD">
      <w:pPr>
        <w:rPr>
          <w:rFonts w:ascii="Arial" w:hAnsi="Arial" w:cs="Arial"/>
          <w:lang w:val="it-IT"/>
        </w:rPr>
      </w:pPr>
      <w:r w:rsidRPr="00EA5885">
        <w:rPr>
          <w:rFonts w:ascii="Arial" w:hAnsi="Arial" w:cs="Arial"/>
          <w:lang w:val="it-IT"/>
        </w:rPr>
        <w:t>Il Fondo può investire in società a piccola e media capitalizzazione ma non sono previsti vincoli o restrizioni in termini di capitalizzazione di mercato</w:t>
      </w:r>
      <w:r w:rsidR="00C50958" w:rsidRPr="00EA5885">
        <w:rPr>
          <w:rFonts w:ascii="Arial" w:hAnsi="Arial" w:cs="Arial"/>
          <w:lang w:val="it-IT"/>
        </w:rPr>
        <w:t xml:space="preserve">. </w:t>
      </w:r>
    </w:p>
    <w:p w14:paraId="7E5842C4" w14:textId="6D4D8D0E" w:rsidR="00BE3E23" w:rsidRPr="00EA5885" w:rsidRDefault="001120AC" w:rsidP="00124DDD">
      <w:pPr>
        <w:rPr>
          <w:rFonts w:ascii="Arial" w:hAnsi="Arial" w:cs="Arial"/>
          <w:lang w:val="it-IT"/>
        </w:rPr>
      </w:pPr>
      <w:r w:rsidRPr="00EA5885">
        <w:rPr>
          <w:rFonts w:ascii="Arial" w:hAnsi="Arial" w:cs="Arial"/>
          <w:lang w:val="it-IT"/>
        </w:rPr>
        <w:t xml:space="preserve">Commentando il lancio, </w:t>
      </w:r>
      <w:r w:rsidR="00D94CC8">
        <w:rPr>
          <w:rFonts w:ascii="Arial" w:hAnsi="Arial" w:cs="Arial"/>
          <w:lang w:val="it-IT"/>
        </w:rPr>
        <w:t xml:space="preserve">Raheel </w:t>
      </w:r>
      <w:r w:rsidRPr="00EA5885">
        <w:rPr>
          <w:rFonts w:ascii="Arial" w:hAnsi="Arial" w:cs="Arial"/>
          <w:lang w:val="it-IT"/>
        </w:rPr>
        <w:t>Altaf ha dichiarato</w:t>
      </w:r>
      <w:r w:rsidR="00BE3E23" w:rsidRPr="00EA5885">
        <w:rPr>
          <w:rFonts w:ascii="Arial" w:hAnsi="Arial" w:cs="Arial"/>
          <w:lang w:val="it-IT"/>
        </w:rPr>
        <w:t xml:space="preserve">: </w:t>
      </w:r>
      <w:r w:rsidR="009D6DE3" w:rsidRPr="00EA5885">
        <w:rPr>
          <w:rFonts w:ascii="Arial" w:hAnsi="Arial" w:cs="Arial"/>
          <w:lang w:val="it-IT"/>
        </w:rPr>
        <w:t>“</w:t>
      </w:r>
      <w:r w:rsidR="0007462F" w:rsidRPr="00EA5885">
        <w:rPr>
          <w:rFonts w:ascii="Arial" w:hAnsi="Arial" w:cs="Arial"/>
          <w:lang w:val="it-IT"/>
        </w:rPr>
        <w:t>Riteniamo che le valutazioni nei mercati emergenti restino interessanti e che le opportunità, in Paesi come Brasile, India e Corea</w:t>
      </w:r>
      <w:r w:rsidR="00265CDA">
        <w:rPr>
          <w:rFonts w:ascii="Arial" w:hAnsi="Arial" w:cs="Arial"/>
          <w:lang w:val="it-IT"/>
        </w:rPr>
        <w:t>,</w:t>
      </w:r>
      <w:r w:rsidR="0007462F" w:rsidRPr="00EA5885">
        <w:rPr>
          <w:rFonts w:ascii="Arial" w:hAnsi="Arial" w:cs="Arial"/>
          <w:lang w:val="it-IT"/>
        </w:rPr>
        <w:t xml:space="preserve"> siano </w:t>
      </w:r>
      <w:r w:rsidR="00582C71">
        <w:rPr>
          <w:rFonts w:ascii="Arial" w:hAnsi="Arial" w:cs="Arial"/>
          <w:lang w:val="it-IT"/>
        </w:rPr>
        <w:t>notevoli</w:t>
      </w:r>
      <w:r w:rsidR="0007462F" w:rsidRPr="00EA5885">
        <w:rPr>
          <w:rFonts w:ascii="Arial" w:hAnsi="Arial" w:cs="Arial"/>
          <w:lang w:val="it-IT"/>
        </w:rPr>
        <w:t xml:space="preserve"> e presenti </w:t>
      </w:r>
      <w:r w:rsidR="00582C71">
        <w:rPr>
          <w:rFonts w:ascii="Arial" w:hAnsi="Arial" w:cs="Arial"/>
          <w:lang w:val="it-IT"/>
        </w:rPr>
        <w:t>in</w:t>
      </w:r>
      <w:r w:rsidR="0007462F" w:rsidRPr="00EA5885">
        <w:rPr>
          <w:rFonts w:ascii="Arial" w:hAnsi="Arial" w:cs="Arial"/>
          <w:lang w:val="it-IT"/>
        </w:rPr>
        <w:t xml:space="preserve"> diversi settori. Questo offre una maggiore diversificazione</w:t>
      </w:r>
      <w:r w:rsidR="00D94CC8">
        <w:rPr>
          <w:rFonts w:ascii="Arial" w:hAnsi="Arial" w:cs="Arial"/>
          <w:lang w:val="it-IT"/>
        </w:rPr>
        <w:t xml:space="preserve"> per gli investitori</w:t>
      </w:r>
      <w:r w:rsidR="00265CDA">
        <w:rPr>
          <w:rFonts w:ascii="Arial" w:hAnsi="Arial" w:cs="Arial"/>
          <w:lang w:val="it-IT"/>
        </w:rPr>
        <w:t>, specialmente</w:t>
      </w:r>
      <w:r w:rsidR="00582C71">
        <w:rPr>
          <w:rFonts w:ascii="Arial" w:hAnsi="Arial" w:cs="Arial"/>
          <w:lang w:val="it-IT"/>
        </w:rPr>
        <w:t xml:space="preserve"> a</w:t>
      </w:r>
      <w:r w:rsidR="0007462F" w:rsidRPr="00EA5885">
        <w:rPr>
          <w:rFonts w:ascii="Arial" w:hAnsi="Arial" w:cs="Arial"/>
          <w:lang w:val="it-IT"/>
        </w:rPr>
        <w:t xml:space="preserve"> chi è fortemente esposto alle mega-cap tecnologiche statunitensi nelle proprie allocazioni azionarie negli USA e a livello globale</w:t>
      </w:r>
      <w:r w:rsidR="009D6DE3" w:rsidRPr="00EA5885">
        <w:rPr>
          <w:rFonts w:ascii="Arial" w:hAnsi="Arial" w:cs="Arial"/>
          <w:lang w:val="it-IT"/>
        </w:rPr>
        <w:t>”</w:t>
      </w:r>
      <w:r w:rsidR="00265CDA">
        <w:rPr>
          <w:rFonts w:ascii="Arial" w:hAnsi="Arial" w:cs="Arial"/>
          <w:lang w:val="it-IT"/>
        </w:rPr>
        <w:t>.</w:t>
      </w:r>
    </w:p>
    <w:p w14:paraId="6107FF60" w14:textId="5673DCE4" w:rsidR="009D6DE3" w:rsidRPr="00EA5885" w:rsidRDefault="0007462F" w:rsidP="00124DDD">
      <w:pPr>
        <w:rPr>
          <w:rFonts w:ascii="Arial" w:hAnsi="Arial" w:cs="Arial"/>
          <w:lang w:val="it-IT"/>
        </w:rPr>
      </w:pPr>
      <w:r w:rsidRPr="00EA5885">
        <w:rPr>
          <w:rFonts w:ascii="Arial" w:hAnsi="Arial" w:cs="Arial"/>
          <w:lang w:val="it-IT"/>
        </w:rPr>
        <w:t>Il processo di investimento proprietario SmartGARP analizza le caratteristiche finanziarie delle società per individuare quelle che, pur crescendo più rapidamente del mercato, sono sottovalutate</w:t>
      </w:r>
      <w:r w:rsidR="00124DDD" w:rsidRPr="00EA5885">
        <w:rPr>
          <w:rFonts w:ascii="Arial" w:hAnsi="Arial" w:cs="Arial"/>
          <w:lang w:val="it-IT"/>
        </w:rPr>
        <w:t>.</w:t>
      </w:r>
    </w:p>
    <w:p w14:paraId="13024181" w14:textId="65D07DA3" w:rsidR="00124DDD" w:rsidRPr="00EA5885" w:rsidRDefault="0007462F" w:rsidP="00124DDD">
      <w:pPr>
        <w:rPr>
          <w:rFonts w:ascii="Arial" w:hAnsi="Arial" w:cs="Arial"/>
          <w:lang w:val="it-IT"/>
        </w:rPr>
      </w:pPr>
      <w:r w:rsidRPr="00EA5885">
        <w:rPr>
          <w:rFonts w:ascii="Arial" w:hAnsi="Arial" w:cs="Arial"/>
          <w:lang w:val="it-IT"/>
        </w:rPr>
        <w:t xml:space="preserve">In questi casi i portafogli tendono a contenere azioni </w:t>
      </w:r>
      <w:r w:rsidR="00265CDA">
        <w:rPr>
          <w:rFonts w:ascii="Arial" w:hAnsi="Arial" w:cs="Arial"/>
          <w:lang w:val="it-IT"/>
        </w:rPr>
        <w:t xml:space="preserve">di società </w:t>
      </w:r>
      <w:r w:rsidRPr="00EA5885">
        <w:rPr>
          <w:rFonts w:ascii="Arial" w:hAnsi="Arial" w:cs="Arial"/>
          <w:lang w:val="it-IT"/>
        </w:rPr>
        <w:t xml:space="preserve">caratterizzate da valutazioni inferiori alla media di mercato, </w:t>
      </w:r>
      <w:r w:rsidR="00582C71">
        <w:rPr>
          <w:rFonts w:ascii="Arial" w:hAnsi="Arial" w:cs="Arial"/>
          <w:lang w:val="it-IT"/>
        </w:rPr>
        <w:t xml:space="preserve">da </w:t>
      </w:r>
      <w:r w:rsidRPr="00EA5885">
        <w:rPr>
          <w:rFonts w:ascii="Arial" w:hAnsi="Arial" w:cs="Arial"/>
          <w:lang w:val="it-IT"/>
        </w:rPr>
        <w:t>potenziali revisioni degli utili al rialzo</w:t>
      </w:r>
      <w:r w:rsidR="00582C71">
        <w:rPr>
          <w:rFonts w:ascii="Arial" w:hAnsi="Arial" w:cs="Arial"/>
          <w:lang w:val="it-IT"/>
        </w:rPr>
        <w:t>,</w:t>
      </w:r>
      <w:r w:rsidRPr="00EA5885">
        <w:rPr>
          <w:rFonts w:ascii="Arial" w:hAnsi="Arial" w:cs="Arial"/>
          <w:lang w:val="it-IT"/>
        </w:rPr>
        <w:t xml:space="preserve"> </w:t>
      </w:r>
      <w:r w:rsidR="00582C71">
        <w:rPr>
          <w:rFonts w:ascii="Arial" w:hAnsi="Arial" w:cs="Arial"/>
          <w:lang w:val="it-IT"/>
        </w:rPr>
        <w:t>da investimenti limitati da parte della comunità finanziaria e</w:t>
      </w:r>
      <w:r w:rsidRPr="00EA5885">
        <w:rPr>
          <w:rFonts w:ascii="Arial" w:hAnsi="Arial" w:cs="Arial"/>
          <w:lang w:val="it-IT"/>
        </w:rPr>
        <w:t xml:space="preserve"> da </w:t>
      </w:r>
      <w:r w:rsidR="00582C71">
        <w:rPr>
          <w:rFonts w:ascii="Arial" w:hAnsi="Arial" w:cs="Arial"/>
          <w:lang w:val="it-IT"/>
        </w:rPr>
        <w:t>condizioni</w:t>
      </w:r>
      <w:r w:rsidRPr="00EA5885">
        <w:rPr>
          <w:rFonts w:ascii="Arial" w:hAnsi="Arial" w:cs="Arial"/>
          <w:lang w:val="it-IT"/>
        </w:rPr>
        <w:t xml:space="preserve"> macroeconomic</w:t>
      </w:r>
      <w:r w:rsidR="00582C71">
        <w:rPr>
          <w:rFonts w:ascii="Arial" w:hAnsi="Arial" w:cs="Arial"/>
          <w:lang w:val="it-IT"/>
        </w:rPr>
        <w:t>he</w:t>
      </w:r>
      <w:r w:rsidRPr="00EA5885">
        <w:rPr>
          <w:rFonts w:ascii="Arial" w:hAnsi="Arial" w:cs="Arial"/>
          <w:lang w:val="it-IT"/>
        </w:rPr>
        <w:t xml:space="preserve"> favorevoli</w:t>
      </w:r>
      <w:r w:rsidR="00124DDD" w:rsidRPr="00EA5885">
        <w:rPr>
          <w:rFonts w:ascii="Arial" w:hAnsi="Arial" w:cs="Arial"/>
          <w:lang w:val="it-IT"/>
        </w:rPr>
        <w:t>.</w:t>
      </w:r>
    </w:p>
    <w:p w14:paraId="64763F85" w14:textId="19D2232F" w:rsidR="00124DDD" w:rsidRPr="00EA5885" w:rsidRDefault="00D94CC8" w:rsidP="00124DDD">
      <w:pPr>
        <w:rPr>
          <w:rFonts w:ascii="Arial" w:hAnsi="Arial" w:cs="Arial"/>
          <w:lang w:val="it-IT"/>
        </w:rPr>
      </w:pPr>
      <w:r>
        <w:rPr>
          <w:rFonts w:ascii="Arial" w:hAnsi="Arial" w:cs="Arial"/>
          <w:lang w:val="it-IT"/>
        </w:rPr>
        <w:t xml:space="preserve">Raheel </w:t>
      </w:r>
      <w:r w:rsidR="0007462F" w:rsidRPr="00EA5885">
        <w:rPr>
          <w:rFonts w:ascii="Arial" w:hAnsi="Arial" w:cs="Arial"/>
          <w:lang w:val="it-IT"/>
        </w:rPr>
        <w:t>Altaf ha aggiunto: "In questa fase SmartGARP considera i mercati emergenti particolarmente interessanti</w:t>
      </w:r>
      <w:r w:rsidR="00265CDA">
        <w:rPr>
          <w:rFonts w:ascii="Arial" w:hAnsi="Arial" w:cs="Arial"/>
          <w:lang w:val="it-IT"/>
        </w:rPr>
        <w:t xml:space="preserve"> e, infatti,</w:t>
      </w:r>
      <w:r w:rsidR="0007462F" w:rsidRPr="00EA5885">
        <w:rPr>
          <w:rFonts w:ascii="Arial" w:hAnsi="Arial" w:cs="Arial"/>
          <w:lang w:val="it-IT"/>
        </w:rPr>
        <w:t xml:space="preserve"> </w:t>
      </w:r>
      <w:r w:rsidR="00265CDA">
        <w:rPr>
          <w:rFonts w:ascii="Arial" w:hAnsi="Arial" w:cs="Arial"/>
          <w:lang w:val="it-IT"/>
        </w:rPr>
        <w:t xml:space="preserve">una </w:t>
      </w:r>
      <w:r w:rsidR="00582C71">
        <w:rPr>
          <w:rFonts w:ascii="Arial" w:hAnsi="Arial" w:cs="Arial"/>
          <w:lang w:val="it-IT"/>
        </w:rPr>
        <w:t>parte</w:t>
      </w:r>
      <w:r w:rsidR="0007462F" w:rsidRPr="00EA5885">
        <w:rPr>
          <w:rFonts w:ascii="Arial" w:hAnsi="Arial" w:cs="Arial"/>
          <w:lang w:val="it-IT"/>
        </w:rPr>
        <w:t xml:space="preserve"> </w:t>
      </w:r>
      <w:r w:rsidR="00582C71">
        <w:rPr>
          <w:rFonts w:ascii="Arial" w:hAnsi="Arial" w:cs="Arial"/>
          <w:lang w:val="it-IT"/>
        </w:rPr>
        <w:t xml:space="preserve">rilevante </w:t>
      </w:r>
      <w:r w:rsidR="0007462F" w:rsidRPr="00EA5885">
        <w:rPr>
          <w:rFonts w:ascii="Arial" w:hAnsi="Arial" w:cs="Arial"/>
          <w:lang w:val="it-IT"/>
        </w:rPr>
        <w:t xml:space="preserve">delle nostre migliori </w:t>
      </w:r>
      <w:r w:rsidR="00582C71">
        <w:rPr>
          <w:rFonts w:ascii="Arial" w:hAnsi="Arial" w:cs="Arial"/>
          <w:lang w:val="it-IT"/>
        </w:rPr>
        <w:t>partecipate</w:t>
      </w:r>
      <w:r w:rsidR="0007462F" w:rsidRPr="00EA5885">
        <w:rPr>
          <w:rFonts w:ascii="Arial" w:hAnsi="Arial" w:cs="Arial"/>
          <w:lang w:val="it-IT"/>
        </w:rPr>
        <w:t xml:space="preserve"> quotate proprio in queste aree</w:t>
      </w:r>
      <w:r w:rsidR="00124DDD" w:rsidRPr="00EA5885">
        <w:rPr>
          <w:rFonts w:ascii="Arial" w:hAnsi="Arial" w:cs="Arial"/>
          <w:lang w:val="it-IT"/>
        </w:rPr>
        <w:t>.</w:t>
      </w:r>
      <w:r w:rsidR="00C609CA">
        <w:rPr>
          <w:rFonts w:ascii="Arial" w:hAnsi="Arial" w:cs="Arial"/>
          <w:lang w:val="it-IT"/>
        </w:rPr>
        <w:t xml:space="preserve">” Continua: </w:t>
      </w:r>
      <w:r w:rsidR="00CA128A" w:rsidRPr="00EA5885">
        <w:rPr>
          <w:rFonts w:ascii="Arial" w:hAnsi="Arial" w:cs="Arial"/>
          <w:lang w:val="it-IT"/>
        </w:rPr>
        <w:t>“</w:t>
      </w:r>
      <w:r w:rsidR="000428BB" w:rsidRPr="00EA5885">
        <w:rPr>
          <w:rFonts w:ascii="Arial" w:hAnsi="Arial" w:cs="Arial"/>
          <w:lang w:val="it-IT"/>
        </w:rPr>
        <w:t xml:space="preserve">Questo approccio si traduce in un portafoglio fortemente differenziato rispetto </w:t>
      </w:r>
      <w:r w:rsidR="00582C71">
        <w:rPr>
          <w:rFonts w:ascii="Arial" w:hAnsi="Arial" w:cs="Arial"/>
          <w:lang w:val="it-IT"/>
        </w:rPr>
        <w:t>all’indice di riferimento</w:t>
      </w:r>
      <w:r w:rsidR="000428BB" w:rsidRPr="00EA5885">
        <w:rPr>
          <w:rFonts w:ascii="Arial" w:hAnsi="Arial" w:cs="Arial"/>
          <w:lang w:val="it-IT"/>
        </w:rPr>
        <w:t xml:space="preserve"> e ai fondi comparabili</w:t>
      </w:r>
      <w:r w:rsidR="009D6DE3" w:rsidRPr="00EA5885">
        <w:rPr>
          <w:rFonts w:ascii="Arial" w:hAnsi="Arial" w:cs="Arial"/>
          <w:lang w:val="it-IT"/>
        </w:rPr>
        <w:t>,</w:t>
      </w:r>
      <w:r w:rsidR="00124DDD" w:rsidRPr="00EA5885">
        <w:rPr>
          <w:rFonts w:ascii="Arial" w:hAnsi="Arial" w:cs="Arial"/>
          <w:lang w:val="it-IT"/>
        </w:rPr>
        <w:t xml:space="preserve"> </w:t>
      </w:r>
      <w:r w:rsidR="000428BB" w:rsidRPr="00EA5885">
        <w:rPr>
          <w:rFonts w:ascii="Arial" w:hAnsi="Arial" w:cs="Arial"/>
          <w:lang w:val="it-IT"/>
        </w:rPr>
        <w:t xml:space="preserve">una caratteristica prevista per il nuovo fondo. </w:t>
      </w:r>
      <w:r w:rsidR="00C609CA">
        <w:rPr>
          <w:rFonts w:ascii="Arial" w:hAnsi="Arial" w:cs="Arial"/>
          <w:lang w:val="it-IT"/>
        </w:rPr>
        <w:t xml:space="preserve">Conclude </w:t>
      </w:r>
      <w:r w:rsidR="00C609CA" w:rsidRPr="00EA5885">
        <w:rPr>
          <w:rFonts w:ascii="Arial" w:hAnsi="Arial" w:cs="Arial"/>
          <w:lang w:val="it-IT"/>
        </w:rPr>
        <w:t>Altaf</w:t>
      </w:r>
      <w:r w:rsidR="00C609CA">
        <w:rPr>
          <w:rFonts w:ascii="Arial" w:hAnsi="Arial" w:cs="Arial"/>
          <w:lang w:val="it-IT"/>
        </w:rPr>
        <w:t xml:space="preserve">: </w:t>
      </w:r>
      <w:r w:rsidR="00CA128A" w:rsidRPr="00EA5885">
        <w:rPr>
          <w:rFonts w:ascii="Arial" w:hAnsi="Arial" w:cs="Arial"/>
          <w:lang w:val="it-IT"/>
        </w:rPr>
        <w:t>“</w:t>
      </w:r>
      <w:r w:rsidR="00EA5885" w:rsidRPr="00EA5885">
        <w:rPr>
          <w:rFonts w:ascii="Arial" w:hAnsi="Arial" w:cs="Arial"/>
          <w:lang w:val="it-IT"/>
        </w:rPr>
        <w:t xml:space="preserve">Il nostro è un approccio orientato al valore rispetto al mercato e ai competitor, con una preferenza per le società a media e piccola capitalizzazione, </w:t>
      </w:r>
      <w:r w:rsidR="00582C71">
        <w:rPr>
          <w:rFonts w:ascii="Arial" w:hAnsi="Arial" w:cs="Arial"/>
          <w:lang w:val="it-IT"/>
        </w:rPr>
        <w:t xml:space="preserve">che rappresentano </w:t>
      </w:r>
      <w:r w:rsidR="00EA5885" w:rsidRPr="00EA5885">
        <w:rPr>
          <w:rFonts w:ascii="Arial" w:hAnsi="Arial" w:cs="Arial"/>
          <w:lang w:val="it-IT"/>
        </w:rPr>
        <w:t>aree poco efficienti del mercato, dove vi sono maggiori possibilità di generare alfa</w:t>
      </w:r>
      <w:r w:rsidR="009D6DE3" w:rsidRPr="00EA5885">
        <w:rPr>
          <w:rFonts w:ascii="Arial" w:hAnsi="Arial" w:cs="Arial"/>
          <w:lang w:val="it-IT"/>
        </w:rPr>
        <w:t>”</w:t>
      </w:r>
      <w:r w:rsidR="00582C71">
        <w:rPr>
          <w:rFonts w:ascii="Arial" w:hAnsi="Arial" w:cs="Arial"/>
          <w:lang w:val="it-IT"/>
        </w:rPr>
        <w:t>.</w:t>
      </w:r>
    </w:p>
    <w:p w14:paraId="276FB19A" w14:textId="548BF9BA" w:rsidR="00124DDD" w:rsidRDefault="00EA5885" w:rsidP="00124DDD">
      <w:pPr>
        <w:rPr>
          <w:rFonts w:ascii="Arial" w:hAnsi="Arial" w:cs="Arial"/>
          <w:lang w:val="it-IT"/>
        </w:rPr>
      </w:pPr>
      <w:r w:rsidRPr="00EA5885">
        <w:rPr>
          <w:rFonts w:ascii="Arial" w:hAnsi="Arial" w:cs="Arial"/>
          <w:lang w:val="it-IT"/>
        </w:rPr>
        <w:t xml:space="preserve">L’Artemis Global Emerging Markets Equity Fund, lanciato nel maggio 2015, ha registrato una notevole sovraperformance rispetto al proprio </w:t>
      </w:r>
      <w:r w:rsidR="00582C71">
        <w:rPr>
          <w:rFonts w:ascii="Arial" w:hAnsi="Arial" w:cs="Arial"/>
          <w:lang w:val="it-IT"/>
        </w:rPr>
        <w:t>indice di riferimento</w:t>
      </w:r>
      <w:r w:rsidRPr="00EA5885">
        <w:rPr>
          <w:rFonts w:ascii="Arial" w:hAnsi="Arial" w:cs="Arial"/>
          <w:lang w:val="it-IT"/>
        </w:rPr>
        <w:t>, collocandosi nel primo quartile del gruppo di confronto su orizzonti di uno, tre, cinque e dieci anni</w:t>
      </w:r>
      <w:r w:rsidR="00124DDD" w:rsidRPr="00EA5885">
        <w:rPr>
          <w:rFonts w:ascii="Arial" w:hAnsi="Arial" w:cs="Arial"/>
          <w:lang w:val="it-IT"/>
        </w:rPr>
        <w:t>.</w:t>
      </w:r>
    </w:p>
    <w:p w14:paraId="439E1F1B" w14:textId="77777777" w:rsidR="003932B9" w:rsidRPr="00EA5885" w:rsidRDefault="003932B9" w:rsidP="003932B9">
      <w:pPr>
        <w:pStyle w:val="Body"/>
        <w:rPr>
          <w:rFonts w:ascii="Arial" w:hAnsi="Arial" w:cs="Arial"/>
          <w:color w:val="auto"/>
          <w:lang w:val="it-IT"/>
        </w:rPr>
      </w:pPr>
      <w:r w:rsidRPr="00EA5885">
        <w:rPr>
          <w:rFonts w:ascii="Arial" w:hAnsi="Arial" w:cs="Arial"/>
          <w:b/>
          <w:bCs/>
          <w:color w:val="auto"/>
          <w:lang w:val="it-IT"/>
        </w:rPr>
        <w:t>Informazioni su Artemis</w:t>
      </w:r>
    </w:p>
    <w:p w14:paraId="241C225B" w14:textId="77777777" w:rsidR="003932B9" w:rsidRPr="00EA5885" w:rsidRDefault="003932B9" w:rsidP="003932B9">
      <w:pPr>
        <w:pStyle w:val="Body"/>
        <w:rPr>
          <w:rFonts w:ascii="Arial" w:hAnsi="Arial" w:cs="Arial"/>
          <w:color w:val="auto"/>
          <w:lang w:val="it-IT"/>
        </w:rPr>
      </w:pPr>
      <w:r w:rsidRPr="00EA5885">
        <w:rPr>
          <w:rFonts w:ascii="Arial" w:hAnsi="Arial" w:cs="Arial"/>
          <w:color w:val="auto"/>
          <w:lang w:val="it-IT"/>
        </w:rPr>
        <w:t xml:space="preserve">Artemis è una società di gestione patrimoniale indipendente e gestita direttamente dai soci, che offre una gamma di fondi con investimenti nel Regno Unito, in Europa, negli Stati Uniti e a livello globale. In qualità di società di investimento dedicata e attiva, Artemis è specializzata nella gestione degli investimenti sia per investitori al dettaglio sia per investitori </w:t>
      </w:r>
      <w:r w:rsidRPr="00EA5885">
        <w:rPr>
          <w:rFonts w:ascii="Arial" w:hAnsi="Arial" w:cs="Arial"/>
          <w:color w:val="auto"/>
          <w:lang w:val="it-IT"/>
        </w:rPr>
        <w:lastRenderedPageBreak/>
        <w:t>istituzionali. Fondata nel 1997, la società è attualmente una limited liability partnership (LLP) e conta 25 soci, tra cui gestori di fondi e altre figure di rilievo all’interno della stessa.</w:t>
      </w:r>
      <w:r>
        <w:rPr>
          <w:rFonts w:ascii="Arial" w:hAnsi="Arial" w:cs="Arial"/>
          <w:color w:val="auto"/>
          <w:lang w:val="it-IT"/>
        </w:rPr>
        <w:t xml:space="preserve"> </w:t>
      </w:r>
    </w:p>
    <w:p w14:paraId="665EC4D6" w14:textId="77777777" w:rsidR="003932B9" w:rsidRPr="00EA5885" w:rsidRDefault="003932B9" w:rsidP="003932B9">
      <w:pPr>
        <w:pStyle w:val="Body"/>
        <w:rPr>
          <w:rFonts w:ascii="Arial" w:hAnsi="Arial" w:cs="Arial"/>
          <w:color w:val="auto"/>
          <w:lang w:val="it-IT"/>
        </w:rPr>
      </w:pPr>
      <w:hyperlink r:id="rId6" w:history="1">
        <w:r w:rsidRPr="00EA5885">
          <w:rPr>
            <w:rStyle w:val="Collegamentoipertestuale"/>
            <w:rFonts w:ascii="Arial" w:hAnsi="Arial" w:cs="Arial"/>
            <w:b/>
            <w:bCs/>
            <w:color w:val="auto"/>
            <w:lang w:val="it-IT"/>
          </w:rPr>
          <w:t>www.artemisfunds.com</w:t>
        </w:r>
      </w:hyperlink>
    </w:p>
    <w:p w14:paraId="7485947B" w14:textId="77777777" w:rsidR="003932B9" w:rsidRPr="00EA5885" w:rsidRDefault="003932B9" w:rsidP="00124DDD">
      <w:pPr>
        <w:rPr>
          <w:rFonts w:ascii="Arial" w:hAnsi="Arial" w:cs="Arial"/>
          <w:lang w:val="it-IT"/>
        </w:rPr>
      </w:pPr>
    </w:p>
    <w:p w14:paraId="0CABC3BD" w14:textId="7E8D8A8A" w:rsidR="00F653DB" w:rsidRPr="00EA5885" w:rsidRDefault="00EA5885" w:rsidP="00EA5885">
      <w:pPr>
        <w:pStyle w:val="Body"/>
        <w:rPr>
          <w:rFonts w:ascii="Arial" w:hAnsi="Arial" w:cs="Arial"/>
          <w:b/>
          <w:bCs/>
          <w:lang w:val="it-IT"/>
        </w:rPr>
      </w:pPr>
      <w:r w:rsidRPr="00EA5885">
        <w:rPr>
          <w:rFonts w:ascii="Arial" w:hAnsi="Arial" w:cs="Arial"/>
          <w:b/>
          <w:bCs/>
          <w:lang w:val="it-IT"/>
        </w:rPr>
        <w:t>Per maggiori informazioni</w:t>
      </w:r>
      <w:r w:rsidR="003932B9">
        <w:rPr>
          <w:rFonts w:ascii="Arial" w:hAnsi="Arial" w:cs="Arial"/>
          <w:b/>
          <w:bCs/>
          <w:lang w:val="it-IT"/>
        </w:rPr>
        <w:t>:</w:t>
      </w:r>
    </w:p>
    <w:p w14:paraId="3480E83A" w14:textId="77777777" w:rsidR="00F653DB" w:rsidRPr="00EA5885" w:rsidRDefault="00F653DB" w:rsidP="00F653DB">
      <w:pPr>
        <w:pStyle w:val="Body"/>
        <w:rPr>
          <w:rFonts w:ascii="Arial" w:hAnsi="Arial" w:cs="Arial"/>
          <w:b/>
          <w:bCs/>
          <w:lang w:val="it-IT"/>
        </w:rPr>
      </w:pPr>
    </w:p>
    <w:p w14:paraId="07F3DB4C" w14:textId="3B042511" w:rsidR="00EA5885" w:rsidRPr="00101561" w:rsidRDefault="00101561" w:rsidP="001B3FA3">
      <w:pPr>
        <w:pStyle w:val="Body"/>
        <w:rPr>
          <w:rFonts w:ascii="Arial" w:hAnsi="Arial" w:cs="Arial"/>
          <w:color w:val="auto"/>
          <w:lang w:val="it-IT"/>
        </w:rPr>
      </w:pPr>
      <w:r w:rsidRPr="00101561">
        <w:rPr>
          <w:rFonts w:ascii="Arial" w:hAnsi="Arial" w:cs="Arial"/>
          <w:b/>
          <w:bCs/>
          <w:color w:val="auto"/>
          <w:lang w:val="it-IT"/>
        </w:rPr>
        <w:t>Elena Giffoni, ufficio stampa A</w:t>
      </w:r>
      <w:r>
        <w:rPr>
          <w:rFonts w:ascii="Arial" w:hAnsi="Arial" w:cs="Arial"/>
          <w:b/>
          <w:bCs/>
          <w:color w:val="auto"/>
          <w:lang w:val="it-IT"/>
        </w:rPr>
        <w:t>rtemis</w:t>
      </w:r>
      <w:r>
        <w:rPr>
          <w:rFonts w:ascii="Arial" w:hAnsi="Arial" w:cs="Arial"/>
          <w:b/>
          <w:bCs/>
          <w:color w:val="auto"/>
          <w:lang w:val="it-IT"/>
        </w:rPr>
        <w:br/>
      </w:r>
      <w:r w:rsidRPr="00101561">
        <w:rPr>
          <w:rFonts w:ascii="Arial" w:hAnsi="Arial" w:cs="Arial"/>
          <w:color w:val="auto"/>
          <w:lang w:val="it-IT"/>
        </w:rPr>
        <w:t>Tel: +39 3472626681</w:t>
      </w:r>
      <w:r w:rsidRPr="00101561">
        <w:rPr>
          <w:rFonts w:ascii="Arial" w:hAnsi="Arial" w:cs="Arial"/>
          <w:color w:val="auto"/>
          <w:lang w:val="it-IT"/>
        </w:rPr>
        <w:br/>
        <w:t xml:space="preserve">Email: </w:t>
      </w:r>
      <w:hyperlink r:id="rId7" w:history="1">
        <w:r w:rsidRPr="00101561">
          <w:rPr>
            <w:rStyle w:val="Collegamentoipertestuale"/>
            <w:rFonts w:ascii="Arial" w:hAnsi="Arial" w:cs="Arial"/>
            <w:lang w:val="it-IT"/>
          </w:rPr>
          <w:t>elena.giffoni@giffonipr.com</w:t>
        </w:r>
      </w:hyperlink>
    </w:p>
    <w:p w14:paraId="33C4DBA1" w14:textId="77777777" w:rsidR="00EA5885" w:rsidRPr="00101561" w:rsidRDefault="00EA5885" w:rsidP="001B3FA3">
      <w:pPr>
        <w:pStyle w:val="Body"/>
        <w:rPr>
          <w:rFonts w:ascii="Arial" w:hAnsi="Arial" w:cs="Arial"/>
          <w:b/>
          <w:bCs/>
          <w:color w:val="auto"/>
          <w:lang w:val="it-IT"/>
        </w:rPr>
      </w:pPr>
    </w:p>
    <w:p w14:paraId="50D147ED" w14:textId="77777777" w:rsidR="001B3FA3" w:rsidRPr="00EA5885" w:rsidRDefault="001B3FA3">
      <w:pPr>
        <w:rPr>
          <w:b/>
          <w:bCs/>
          <w:lang w:val="it-IT"/>
        </w:rPr>
      </w:pPr>
    </w:p>
    <w:sectPr w:rsidR="001B3FA3" w:rsidRPr="00EA58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58"/>
    <w:rsid w:val="00003493"/>
    <w:rsid w:val="00012D29"/>
    <w:rsid w:val="000428BB"/>
    <w:rsid w:val="000526FC"/>
    <w:rsid w:val="00073838"/>
    <w:rsid w:val="0007462F"/>
    <w:rsid w:val="000A0037"/>
    <w:rsid w:val="00101561"/>
    <w:rsid w:val="001120AC"/>
    <w:rsid w:val="0012246F"/>
    <w:rsid w:val="00124CA7"/>
    <w:rsid w:val="00124DDD"/>
    <w:rsid w:val="00127D3D"/>
    <w:rsid w:val="00127E47"/>
    <w:rsid w:val="00140D1D"/>
    <w:rsid w:val="00144A7D"/>
    <w:rsid w:val="00152679"/>
    <w:rsid w:val="00161A3C"/>
    <w:rsid w:val="00170535"/>
    <w:rsid w:val="00183D39"/>
    <w:rsid w:val="001B2435"/>
    <w:rsid w:val="001B3FA3"/>
    <w:rsid w:val="001B7529"/>
    <w:rsid w:val="001D1713"/>
    <w:rsid w:val="001D1B14"/>
    <w:rsid w:val="001D2BF9"/>
    <w:rsid w:val="001D3EDE"/>
    <w:rsid w:val="001E6125"/>
    <w:rsid w:val="001F0A21"/>
    <w:rsid w:val="001F1919"/>
    <w:rsid w:val="002020C5"/>
    <w:rsid w:val="00211128"/>
    <w:rsid w:val="00243697"/>
    <w:rsid w:val="00244947"/>
    <w:rsid w:val="002462A3"/>
    <w:rsid w:val="002608DE"/>
    <w:rsid w:val="00265CDA"/>
    <w:rsid w:val="00281B66"/>
    <w:rsid w:val="0029149F"/>
    <w:rsid w:val="002C1D6E"/>
    <w:rsid w:val="002D100C"/>
    <w:rsid w:val="002E490E"/>
    <w:rsid w:val="002E7D42"/>
    <w:rsid w:val="00311936"/>
    <w:rsid w:val="00312DB0"/>
    <w:rsid w:val="00326AA5"/>
    <w:rsid w:val="003356A3"/>
    <w:rsid w:val="00356DEF"/>
    <w:rsid w:val="003620F2"/>
    <w:rsid w:val="00377A8E"/>
    <w:rsid w:val="003920C3"/>
    <w:rsid w:val="003932B9"/>
    <w:rsid w:val="003A0C84"/>
    <w:rsid w:val="003D39DA"/>
    <w:rsid w:val="003E0C61"/>
    <w:rsid w:val="003F4700"/>
    <w:rsid w:val="003F54CD"/>
    <w:rsid w:val="003F67FD"/>
    <w:rsid w:val="00423025"/>
    <w:rsid w:val="00433C64"/>
    <w:rsid w:val="00451DD8"/>
    <w:rsid w:val="00464FAD"/>
    <w:rsid w:val="00480CD9"/>
    <w:rsid w:val="00497879"/>
    <w:rsid w:val="0050657D"/>
    <w:rsid w:val="00530279"/>
    <w:rsid w:val="00530AB8"/>
    <w:rsid w:val="005374CA"/>
    <w:rsid w:val="00580C73"/>
    <w:rsid w:val="00582C71"/>
    <w:rsid w:val="0058697B"/>
    <w:rsid w:val="005B47CB"/>
    <w:rsid w:val="005D0195"/>
    <w:rsid w:val="005E1A28"/>
    <w:rsid w:val="005F0D53"/>
    <w:rsid w:val="00601407"/>
    <w:rsid w:val="00606B66"/>
    <w:rsid w:val="00617FA5"/>
    <w:rsid w:val="00645C25"/>
    <w:rsid w:val="006628CF"/>
    <w:rsid w:val="00676A04"/>
    <w:rsid w:val="006878DE"/>
    <w:rsid w:val="00690C05"/>
    <w:rsid w:val="006A2565"/>
    <w:rsid w:val="006B2C29"/>
    <w:rsid w:val="006B6CA1"/>
    <w:rsid w:val="006C04AC"/>
    <w:rsid w:val="006C7864"/>
    <w:rsid w:val="00753B1B"/>
    <w:rsid w:val="00757EA1"/>
    <w:rsid w:val="007752BD"/>
    <w:rsid w:val="0078797C"/>
    <w:rsid w:val="007A0068"/>
    <w:rsid w:val="007A6971"/>
    <w:rsid w:val="007A78EE"/>
    <w:rsid w:val="007C5984"/>
    <w:rsid w:val="007D6826"/>
    <w:rsid w:val="007D7824"/>
    <w:rsid w:val="007E51B5"/>
    <w:rsid w:val="00800029"/>
    <w:rsid w:val="008164E5"/>
    <w:rsid w:val="008238FD"/>
    <w:rsid w:val="00840A03"/>
    <w:rsid w:val="00843734"/>
    <w:rsid w:val="00857B0F"/>
    <w:rsid w:val="008D55EA"/>
    <w:rsid w:val="0091146F"/>
    <w:rsid w:val="00913143"/>
    <w:rsid w:val="00915DBD"/>
    <w:rsid w:val="00935E2A"/>
    <w:rsid w:val="00943196"/>
    <w:rsid w:val="00986A5B"/>
    <w:rsid w:val="00990E2A"/>
    <w:rsid w:val="009A7957"/>
    <w:rsid w:val="009B5CD8"/>
    <w:rsid w:val="009D6DE3"/>
    <w:rsid w:val="00A004F0"/>
    <w:rsid w:val="00A078E8"/>
    <w:rsid w:val="00A12867"/>
    <w:rsid w:val="00A44F0A"/>
    <w:rsid w:val="00A45B51"/>
    <w:rsid w:val="00AD2795"/>
    <w:rsid w:val="00AD29AB"/>
    <w:rsid w:val="00B25EDC"/>
    <w:rsid w:val="00B439CA"/>
    <w:rsid w:val="00B61C5A"/>
    <w:rsid w:val="00B719CA"/>
    <w:rsid w:val="00BA1E7F"/>
    <w:rsid w:val="00BE3E23"/>
    <w:rsid w:val="00C04CF2"/>
    <w:rsid w:val="00C05482"/>
    <w:rsid w:val="00C4323C"/>
    <w:rsid w:val="00C50958"/>
    <w:rsid w:val="00C55DAA"/>
    <w:rsid w:val="00C56239"/>
    <w:rsid w:val="00C57E10"/>
    <w:rsid w:val="00C609CA"/>
    <w:rsid w:val="00C6154A"/>
    <w:rsid w:val="00C77CFC"/>
    <w:rsid w:val="00C922AF"/>
    <w:rsid w:val="00C929C6"/>
    <w:rsid w:val="00C9522C"/>
    <w:rsid w:val="00CA128A"/>
    <w:rsid w:val="00CA7660"/>
    <w:rsid w:val="00CB2436"/>
    <w:rsid w:val="00CC1F27"/>
    <w:rsid w:val="00CC495C"/>
    <w:rsid w:val="00CE1C82"/>
    <w:rsid w:val="00CF6D26"/>
    <w:rsid w:val="00D23C5E"/>
    <w:rsid w:val="00D46452"/>
    <w:rsid w:val="00D47A26"/>
    <w:rsid w:val="00D61B41"/>
    <w:rsid w:val="00D93278"/>
    <w:rsid w:val="00D94CC8"/>
    <w:rsid w:val="00DB6EAD"/>
    <w:rsid w:val="00DC2244"/>
    <w:rsid w:val="00DC588D"/>
    <w:rsid w:val="00DE2D59"/>
    <w:rsid w:val="00DF2453"/>
    <w:rsid w:val="00DF78A5"/>
    <w:rsid w:val="00E037D9"/>
    <w:rsid w:val="00E05CCE"/>
    <w:rsid w:val="00E13E59"/>
    <w:rsid w:val="00E25C38"/>
    <w:rsid w:val="00E36CE5"/>
    <w:rsid w:val="00E976FB"/>
    <w:rsid w:val="00EA5885"/>
    <w:rsid w:val="00ED41F3"/>
    <w:rsid w:val="00EE1E43"/>
    <w:rsid w:val="00EF1986"/>
    <w:rsid w:val="00F057B6"/>
    <w:rsid w:val="00F47585"/>
    <w:rsid w:val="00F653DB"/>
    <w:rsid w:val="00F75555"/>
    <w:rsid w:val="00F831D2"/>
    <w:rsid w:val="00F92D26"/>
    <w:rsid w:val="00FA169D"/>
    <w:rsid w:val="00FA5AC1"/>
    <w:rsid w:val="00FD3E7F"/>
    <w:rsid w:val="00FE3C15"/>
    <w:rsid w:val="00FE6B1A"/>
    <w:rsid w:val="00FF26E8"/>
    <w:rsid w:val="00FF7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76C7"/>
  <w15:chartTrackingRefBased/>
  <w15:docId w15:val="{EFFA4C5B-7F4D-4C37-9C21-4A5DA344E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0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0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095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095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095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095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095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095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095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095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095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095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095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095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09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09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09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09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0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09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09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09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09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0958"/>
    <w:rPr>
      <w:i/>
      <w:iCs/>
      <w:color w:val="404040" w:themeColor="text1" w:themeTint="BF"/>
    </w:rPr>
  </w:style>
  <w:style w:type="paragraph" w:styleId="Paragrafoelenco">
    <w:name w:val="List Paragraph"/>
    <w:basedOn w:val="Normale"/>
    <w:uiPriority w:val="34"/>
    <w:qFormat/>
    <w:rsid w:val="00C50958"/>
    <w:pPr>
      <w:ind w:left="720"/>
      <w:contextualSpacing/>
    </w:pPr>
  </w:style>
  <w:style w:type="character" w:styleId="Enfasiintensa">
    <w:name w:val="Intense Emphasis"/>
    <w:basedOn w:val="Carpredefinitoparagrafo"/>
    <w:uiPriority w:val="21"/>
    <w:qFormat/>
    <w:rsid w:val="00C50958"/>
    <w:rPr>
      <w:i/>
      <w:iCs/>
      <w:color w:val="0F4761" w:themeColor="accent1" w:themeShade="BF"/>
    </w:rPr>
  </w:style>
  <w:style w:type="paragraph" w:styleId="Citazioneintensa">
    <w:name w:val="Intense Quote"/>
    <w:basedOn w:val="Normale"/>
    <w:next w:val="Normale"/>
    <w:link w:val="CitazioneintensaCarattere"/>
    <w:uiPriority w:val="30"/>
    <w:qFormat/>
    <w:rsid w:val="00C50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0958"/>
    <w:rPr>
      <w:i/>
      <w:iCs/>
      <w:color w:val="0F4761" w:themeColor="accent1" w:themeShade="BF"/>
    </w:rPr>
  </w:style>
  <w:style w:type="character" w:styleId="Riferimentointenso">
    <w:name w:val="Intense Reference"/>
    <w:basedOn w:val="Carpredefinitoparagrafo"/>
    <w:uiPriority w:val="32"/>
    <w:qFormat/>
    <w:rsid w:val="00C50958"/>
    <w:rPr>
      <w:b/>
      <w:bCs/>
      <w:smallCaps/>
      <w:color w:val="0F4761" w:themeColor="accent1" w:themeShade="BF"/>
      <w:spacing w:val="5"/>
    </w:rPr>
  </w:style>
  <w:style w:type="character" w:styleId="Collegamentoipertestuale">
    <w:name w:val="Hyperlink"/>
    <w:basedOn w:val="Carpredefinitoparagrafo"/>
    <w:uiPriority w:val="99"/>
    <w:unhideWhenUsed/>
    <w:rsid w:val="00FE6B1A"/>
    <w:rPr>
      <w:color w:val="467886" w:themeColor="hyperlink"/>
      <w:u w:val="single"/>
    </w:rPr>
  </w:style>
  <w:style w:type="character" w:styleId="Menzionenonrisolta">
    <w:name w:val="Unresolved Mention"/>
    <w:basedOn w:val="Carpredefinitoparagrafo"/>
    <w:uiPriority w:val="99"/>
    <w:semiHidden/>
    <w:unhideWhenUsed/>
    <w:rsid w:val="00FE6B1A"/>
    <w:rPr>
      <w:color w:val="605E5C"/>
      <w:shd w:val="clear" w:color="auto" w:fill="E1DFDD"/>
    </w:rPr>
  </w:style>
  <w:style w:type="paragraph" w:styleId="Revisione">
    <w:name w:val="Revision"/>
    <w:hidden/>
    <w:uiPriority w:val="99"/>
    <w:semiHidden/>
    <w:rsid w:val="00281B66"/>
    <w:pPr>
      <w:spacing w:after="0" w:line="240" w:lineRule="auto"/>
    </w:pPr>
  </w:style>
  <w:style w:type="paragraph" w:customStyle="1" w:styleId="Body">
    <w:name w:val="Body"/>
    <w:rsid w:val="00F653DB"/>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GB"/>
      <w14:ligatures w14:val="none"/>
    </w:rPr>
  </w:style>
  <w:style w:type="character" w:styleId="Rimandocommento">
    <w:name w:val="annotation reference"/>
    <w:basedOn w:val="Carpredefinitoparagrafo"/>
    <w:uiPriority w:val="99"/>
    <w:semiHidden/>
    <w:unhideWhenUsed/>
    <w:rsid w:val="001B3FA3"/>
    <w:rPr>
      <w:sz w:val="16"/>
      <w:szCs w:val="16"/>
    </w:rPr>
  </w:style>
  <w:style w:type="paragraph" w:styleId="Testocommento">
    <w:name w:val="annotation text"/>
    <w:basedOn w:val="Normale"/>
    <w:link w:val="TestocommentoCarattere"/>
    <w:uiPriority w:val="99"/>
    <w:semiHidden/>
    <w:unhideWhenUsed/>
    <w:rsid w:val="003E0C6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E0C61"/>
    <w:rPr>
      <w:sz w:val="20"/>
      <w:szCs w:val="20"/>
    </w:rPr>
  </w:style>
  <w:style w:type="paragraph" w:styleId="Soggettocommento">
    <w:name w:val="annotation subject"/>
    <w:basedOn w:val="Testocommento"/>
    <w:next w:val="Testocommento"/>
    <w:link w:val="SoggettocommentoCarattere"/>
    <w:uiPriority w:val="99"/>
    <w:semiHidden/>
    <w:unhideWhenUsed/>
    <w:rsid w:val="003E0C61"/>
    <w:rPr>
      <w:b/>
      <w:bCs/>
    </w:rPr>
  </w:style>
  <w:style w:type="character" w:customStyle="1" w:styleId="SoggettocommentoCarattere">
    <w:name w:val="Soggetto commento Carattere"/>
    <w:basedOn w:val="TestocommentoCarattere"/>
    <w:link w:val="Soggettocommento"/>
    <w:uiPriority w:val="99"/>
    <w:semiHidden/>
    <w:rsid w:val="003E0C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ena.giffoni@giffonip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rtemisfund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E4D81-DD4D-D24C-BAFF-2683447351D6}">
  <ds:schemaRefs>
    <ds:schemaRef ds:uri="http://schemas.openxmlformats.org/officeDocument/2006/bibliography"/>
  </ds:schemaRefs>
</ds:datastoreItem>
</file>

<file path=docMetadata/LabelInfo.xml><?xml version="1.0" encoding="utf-8"?>
<clbl:labelList xmlns:clbl="http://schemas.microsoft.com/office/2020/mipLabelMetadata">
  <clbl:label id="{2a92891e-8324-47ec-91f7-46552ad42137}" enabled="1" method="Standard" siteId="{13af8710-9992-43aa-aa20-7213e192040f}" removed="0"/>
</clbl:labelList>
</file>

<file path=docProps/app.xml><?xml version="1.0" encoding="utf-8"?>
<Properties xmlns="http://schemas.openxmlformats.org/officeDocument/2006/extended-properties" xmlns:vt="http://schemas.openxmlformats.org/officeDocument/2006/docPropsVTypes">
  <Template>Normal.dotm</Template>
  <TotalTime>191</TotalTime>
  <Pages>3</Pages>
  <Words>784</Words>
  <Characters>4472</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Artemis Investment Management LLP</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Gosling</dc:creator>
  <cp:keywords/>
  <dc:description/>
  <cp:lastModifiedBy>Elena Giffoni</cp:lastModifiedBy>
  <cp:revision>11</cp:revision>
  <dcterms:created xsi:type="dcterms:W3CDTF">2026-01-10T15:10:00Z</dcterms:created>
  <dcterms:modified xsi:type="dcterms:W3CDTF">2026-01-19T15:09:00Z</dcterms:modified>
</cp:coreProperties>
</file>