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2CA52E1" w14:textId="77777777" w:rsidR="00DF05C6" w:rsidRDefault="00DF05C6" w:rsidP="0007185D">
      <w:pPr>
        <w:pStyle w:val="Normal1"/>
        <w:spacing w:line="276" w:lineRule="auto"/>
        <w:jc w:val="center"/>
        <w:rPr>
          <w:rFonts w:ascii="Calibri" w:eastAsia="Calibri" w:hAnsi="Calibri" w:cs="Calibri"/>
          <w:b/>
          <w:color w:val="000000"/>
          <w:sz w:val="40"/>
          <w:lang w:val="es-ES"/>
        </w:rPr>
      </w:pPr>
      <w:r w:rsidRPr="00DF05C6">
        <w:rPr>
          <w:rFonts w:ascii="Calibri" w:eastAsia="Calibri" w:hAnsi="Calibri" w:cs="Calibri"/>
          <w:b/>
          <w:color w:val="000000"/>
          <w:sz w:val="40"/>
          <w:lang w:val="es-ES"/>
        </w:rPr>
        <w:t>ManageEngine mejora su plataforma de seguridad con detección optimizada, minimizando la fatiga de alertas en SOC</w:t>
      </w:r>
    </w:p>
    <w:p w14:paraId="1B9CC568" w14:textId="77777777" w:rsidR="00DF05C6" w:rsidRPr="00DF05C6" w:rsidRDefault="00DF05C6" w:rsidP="00DF05C6">
      <w:pPr>
        <w:pStyle w:val="Normal1"/>
        <w:jc w:val="center"/>
        <w:rPr>
          <w:rFonts w:ascii="Calibri" w:eastAsia="Calibri" w:hAnsi="Calibri" w:cs="Calibri"/>
          <w:b/>
          <w:color w:val="000000"/>
          <w:lang w:val="es-ES"/>
        </w:rPr>
      </w:pPr>
      <w:r w:rsidRPr="00DF05C6">
        <w:rPr>
          <w:rFonts w:ascii="Calibri" w:eastAsia="Calibri" w:hAnsi="Calibri" w:cs="Calibri"/>
          <w:i/>
          <w:color w:val="000000"/>
          <w:lang w:val="es-ES"/>
        </w:rPr>
        <w:t>Las nuevas capacidades de Log360 abordan los falsos positivos, mantienen actualizada la cobertura de amenazas y escalan de acuerdo con la demanda empresarial</w:t>
      </w:r>
    </w:p>
    <w:p w14:paraId="0235E69E" w14:textId="77777777" w:rsidR="00DF05C6" w:rsidRPr="00DF05C6" w:rsidRDefault="0007185D" w:rsidP="00DF05C6">
      <w:pPr>
        <w:pStyle w:val="Prrafodelista"/>
        <w:numPr>
          <w:ilvl w:val="0"/>
          <w:numId w:val="27"/>
        </w:numPr>
        <w:rPr>
          <w:rFonts w:ascii="Calibri" w:eastAsia="Calibri" w:hAnsi="Calibri" w:cs="Calibri"/>
          <w:b/>
          <w:color w:val="000000"/>
          <w:lang w:val="es-ES"/>
        </w:rPr>
      </w:pPr>
      <w:r w:rsidRPr="00DF05C6">
        <w:rPr>
          <w:rFonts w:ascii="Calibri" w:eastAsia="Calibri" w:hAnsi="Calibri" w:cs="Calibri"/>
          <w:b/>
          <w:color w:val="000000"/>
          <w:lang w:val="es-ES"/>
        </w:rPr>
        <w:t xml:space="preserve">El ajuste de reglas y la información </w:t>
      </w:r>
      <w:r w:rsidR="00DF05C6" w:rsidRPr="00DF05C6">
        <w:rPr>
          <w:rFonts w:ascii="Calibri" w:eastAsia="Calibri" w:hAnsi="Calibri" w:cs="Calibri"/>
          <w:b/>
          <w:color w:val="000000"/>
          <w:lang w:val="es-ES"/>
        </w:rPr>
        <w:t>ayudan a los equipos a priorizar las señales de mayor atención</w:t>
      </w:r>
    </w:p>
    <w:p w14:paraId="561BEE94" w14:textId="2D59E8D4" w:rsidR="0007185D" w:rsidRPr="00DF05C6" w:rsidRDefault="00DF05C6" w:rsidP="00DF05C6">
      <w:pPr>
        <w:pStyle w:val="Normal1"/>
        <w:numPr>
          <w:ilvl w:val="0"/>
          <w:numId w:val="27"/>
        </w:numPr>
        <w:jc w:val="both"/>
        <w:rPr>
          <w:rFonts w:ascii="Calibri" w:eastAsia="Calibri" w:hAnsi="Calibri" w:cs="Calibri"/>
          <w:b/>
          <w:color w:val="000000"/>
          <w:lang w:val="es-ES"/>
        </w:rPr>
      </w:pPr>
      <w:r>
        <w:rPr>
          <w:rFonts w:ascii="Calibri" w:eastAsia="Calibri" w:hAnsi="Calibri" w:cs="Calibri"/>
          <w:b/>
          <w:color w:val="000000"/>
          <w:lang w:val="es-ES"/>
        </w:rPr>
        <w:t xml:space="preserve">Más de </w:t>
      </w:r>
      <w:r w:rsidR="0007185D" w:rsidRPr="00DF05C6">
        <w:rPr>
          <w:rFonts w:ascii="Calibri" w:eastAsia="Calibri" w:hAnsi="Calibri" w:cs="Calibri"/>
          <w:b/>
          <w:color w:val="000000"/>
          <w:lang w:val="es-ES"/>
        </w:rPr>
        <w:t>1</w:t>
      </w:r>
      <w:r>
        <w:rPr>
          <w:rFonts w:ascii="Calibri" w:eastAsia="Calibri" w:hAnsi="Calibri" w:cs="Calibri"/>
          <w:b/>
          <w:color w:val="000000"/>
          <w:lang w:val="es-ES"/>
        </w:rPr>
        <w:t>,500</w:t>
      </w:r>
      <w:r w:rsidR="0007185D" w:rsidRPr="00DF05C6">
        <w:rPr>
          <w:rFonts w:ascii="Calibri" w:eastAsia="Calibri" w:hAnsi="Calibri" w:cs="Calibri"/>
          <w:b/>
          <w:color w:val="000000"/>
          <w:lang w:val="es-ES"/>
        </w:rPr>
        <w:t xml:space="preserve"> reglas de detección prediseñadas </w:t>
      </w:r>
      <w:r w:rsidRPr="00DF05C6">
        <w:rPr>
          <w:rFonts w:ascii="Calibri" w:eastAsia="Calibri" w:hAnsi="Calibri" w:cs="Calibri"/>
          <w:b/>
          <w:color w:val="000000"/>
          <w:lang w:val="es-ES"/>
        </w:rPr>
        <w:t>y disponibles en la nube se asignan al marco de modelado de amenazas MITRE ATT&amp;CK® y SIGMA</w:t>
      </w:r>
    </w:p>
    <w:p w14:paraId="089C9343" w14:textId="063F1420" w:rsidR="0007185D" w:rsidRPr="0007185D" w:rsidRDefault="0007185D" w:rsidP="0007185D">
      <w:pPr>
        <w:pStyle w:val="Normal1"/>
        <w:numPr>
          <w:ilvl w:val="0"/>
          <w:numId w:val="27"/>
        </w:numPr>
        <w:jc w:val="both"/>
        <w:rPr>
          <w:rFonts w:ascii="Calibri" w:eastAsia="Calibri" w:hAnsi="Calibri" w:cs="Calibri"/>
          <w:b/>
          <w:color w:val="000000"/>
          <w:lang w:val="es-ES"/>
        </w:rPr>
      </w:pPr>
      <w:r w:rsidRPr="0007185D">
        <w:rPr>
          <w:rFonts w:ascii="Calibri" w:eastAsia="Calibri" w:hAnsi="Calibri" w:cs="Calibri"/>
          <w:b/>
          <w:color w:val="000000"/>
          <w:lang w:val="es-ES"/>
        </w:rPr>
        <w:t>Regístrese para la sesión de lanzamiento programada para e</w:t>
      </w:r>
      <w:r w:rsidR="00DF05C6">
        <w:rPr>
          <w:rFonts w:ascii="Calibri" w:eastAsia="Calibri" w:hAnsi="Calibri" w:cs="Calibri"/>
          <w:b/>
          <w:color w:val="000000"/>
          <w:lang w:val="es-ES"/>
        </w:rPr>
        <w:t xml:space="preserve">l 30 de septiembre de 2025 </w:t>
      </w:r>
      <w:r w:rsidRPr="0007185D">
        <w:rPr>
          <w:rFonts w:ascii="Calibri" w:eastAsia="Calibri" w:hAnsi="Calibri" w:cs="Calibri"/>
          <w:b/>
          <w:color w:val="000000"/>
          <w:lang w:val="es-ES"/>
        </w:rPr>
        <w:t xml:space="preserve"> </w:t>
      </w:r>
      <w:hyperlink r:id="rId7" w:history="1">
        <w:r w:rsidRPr="0007185D">
          <w:rPr>
            <w:rStyle w:val="Hipervnculo"/>
            <w:rFonts w:ascii="Calibri" w:eastAsia="Calibri" w:hAnsi="Calibri" w:cs="Calibri"/>
            <w:b/>
            <w:lang w:val="es-ES"/>
          </w:rPr>
          <w:t>https://mnge.it/8gM</w:t>
        </w:r>
      </w:hyperlink>
      <w:r w:rsidRPr="0007185D">
        <w:rPr>
          <w:rFonts w:ascii="Calibri" w:eastAsia="Calibri" w:hAnsi="Calibri" w:cs="Calibri"/>
          <w:b/>
          <w:color w:val="000000"/>
          <w:lang w:val="es-ES"/>
        </w:rPr>
        <w:t xml:space="preserve"> </w:t>
      </w:r>
    </w:p>
    <w:p w14:paraId="4BF26745" w14:textId="7CDE245A" w:rsidR="0007185D" w:rsidRPr="0007185D" w:rsidRDefault="0007185D" w:rsidP="0007185D">
      <w:pPr>
        <w:pStyle w:val="Normal1"/>
        <w:numPr>
          <w:ilvl w:val="0"/>
          <w:numId w:val="27"/>
        </w:numPr>
        <w:jc w:val="both"/>
        <w:rPr>
          <w:rFonts w:ascii="Calibri" w:eastAsia="Calibri" w:hAnsi="Calibri" w:cs="Calibri"/>
          <w:b/>
          <w:color w:val="000000"/>
          <w:lang w:val="es-ES"/>
        </w:rPr>
      </w:pPr>
      <w:r w:rsidRPr="0007185D">
        <w:rPr>
          <w:rFonts w:ascii="Calibri" w:eastAsia="Calibri" w:hAnsi="Calibri" w:cs="Calibri"/>
          <w:b/>
          <w:color w:val="000000"/>
          <w:lang w:val="es-ES"/>
        </w:rPr>
        <w:t xml:space="preserve">Obtenga más información sobre las capacidades de detección de amenazas de Log360 en </w:t>
      </w:r>
      <w:hyperlink r:id="rId8" w:history="1">
        <w:r w:rsidRPr="0007185D">
          <w:rPr>
            <w:rStyle w:val="Hipervnculo"/>
            <w:rFonts w:ascii="Calibri" w:eastAsia="Calibri" w:hAnsi="Calibri" w:cs="Calibri"/>
            <w:b/>
            <w:lang w:val="es-ES"/>
          </w:rPr>
          <w:t>https://mnge.it/Vi9</w:t>
        </w:r>
      </w:hyperlink>
      <w:r w:rsidRPr="0007185D">
        <w:rPr>
          <w:rFonts w:ascii="Calibri" w:eastAsia="Calibri" w:hAnsi="Calibri" w:cs="Calibri"/>
          <w:b/>
          <w:color w:val="000000"/>
          <w:lang w:val="es-ES"/>
        </w:rPr>
        <w:t xml:space="preserve"> </w:t>
      </w:r>
    </w:p>
    <w:p w14:paraId="0E99F8CA" w14:textId="310F44CC" w:rsidR="00DF05C6" w:rsidRPr="00DF05C6" w:rsidRDefault="006F3413" w:rsidP="00DF05C6">
      <w:pPr>
        <w:pStyle w:val="Normal1"/>
        <w:jc w:val="both"/>
        <w:rPr>
          <w:rFonts w:ascii="Calibri" w:eastAsia="Arimo Regular" w:hAnsi="Calibri" w:cs="Calibri"/>
          <w:color w:val="000000"/>
          <w:sz w:val="22"/>
          <w:lang w:val="es-ES"/>
        </w:rPr>
      </w:pPr>
      <w:r w:rsidRPr="00CD7800">
        <w:rPr>
          <w:rFonts w:ascii="Calibri" w:eastAsia="Calibri" w:hAnsi="Calibri" w:cs="Calibri"/>
          <w:b/>
          <w:color w:val="000000"/>
          <w:lang w:val="es-ES"/>
        </w:rPr>
        <w:t xml:space="preserve">MADRID, </w:t>
      </w:r>
      <w:r w:rsidR="005B12F1">
        <w:rPr>
          <w:rFonts w:ascii="Calibri" w:eastAsia="Calibri" w:hAnsi="Calibri" w:cs="Calibri"/>
          <w:b/>
          <w:color w:val="000000"/>
          <w:lang w:val="es-ES"/>
        </w:rPr>
        <w:t>2</w:t>
      </w:r>
      <w:r w:rsidR="00AF658C">
        <w:rPr>
          <w:rFonts w:ascii="Calibri" w:eastAsia="Calibri" w:hAnsi="Calibri" w:cs="Calibri"/>
          <w:b/>
          <w:color w:val="000000"/>
          <w:lang w:val="es-ES"/>
        </w:rPr>
        <w:t>5</w:t>
      </w:r>
      <w:r w:rsidRPr="00CD7800">
        <w:rPr>
          <w:rFonts w:ascii="Calibri" w:eastAsia="Calibri" w:hAnsi="Calibri" w:cs="Calibri"/>
          <w:b/>
          <w:color w:val="000000"/>
          <w:lang w:val="es-ES"/>
        </w:rPr>
        <w:t xml:space="preserve"> de </w:t>
      </w:r>
      <w:r w:rsidR="00CD7800" w:rsidRPr="00CD7800">
        <w:rPr>
          <w:rFonts w:ascii="Calibri" w:eastAsia="Calibri" w:hAnsi="Calibri" w:cs="Calibri"/>
          <w:b/>
          <w:color w:val="000000"/>
          <w:lang w:val="es-ES"/>
        </w:rPr>
        <w:t>septiembre</w:t>
      </w:r>
      <w:r w:rsidRPr="00CD7800">
        <w:rPr>
          <w:rFonts w:ascii="Calibri" w:eastAsia="Calibri" w:hAnsi="Calibri" w:cs="Calibri"/>
          <w:b/>
          <w:color w:val="000000"/>
          <w:lang w:val="es-ES"/>
        </w:rPr>
        <w:t xml:space="preserve"> de 2025 —  </w:t>
      </w:r>
      <w:hyperlink r:id="rId9" w:history="1">
        <w:r w:rsidR="004471D8" w:rsidRPr="00CD7800">
          <w:rPr>
            <w:rFonts w:ascii="Calibri" w:eastAsia="Calibri" w:hAnsi="Calibri" w:cs="Calibri"/>
            <w:color w:val="CC9900"/>
            <w:u w:val="single" w:color="0000FF"/>
            <w:lang w:val="es-ES"/>
          </w:rPr>
          <w:t>ManageEngine</w:t>
        </w:r>
      </w:hyperlink>
      <w:r w:rsidRPr="00CD7800">
        <w:rPr>
          <w:rFonts w:ascii="Calibri" w:eastAsia="Calibri" w:hAnsi="Calibri" w:cs="Calibri"/>
          <w:color w:val="000000"/>
          <w:lang w:val="es-ES"/>
        </w:rPr>
        <w:t xml:space="preserve">, </w:t>
      </w:r>
      <w:r w:rsidR="00DF05C6" w:rsidRPr="00DF05C6">
        <w:rPr>
          <w:rFonts w:ascii="Calibri" w:eastAsia="Arimo Regular" w:hAnsi="Calibri" w:cs="Calibri"/>
          <w:color w:val="000000"/>
          <w:sz w:val="22"/>
          <w:lang w:val="es-ES"/>
        </w:rPr>
        <w:t>una división de Zoho Corporation y proveedor líder de soluciones de gestión de TI empresarial, anunció hoy que su solución de gestión de eventos e información de seguridad (SIEM), Log360, se ha fortalecido con un enfoque de detección de amenazas rediseñado, en una mejora importante destinada a abordar las necesidades de los equipos de centros de operaciones de seguridad (SOC) de hoy en día.</w:t>
      </w:r>
    </w:p>
    <w:p w14:paraId="66F21B2D" w14:textId="43EA1727" w:rsidR="0007185D" w:rsidRPr="0007185D" w:rsidRDefault="00DF05C6" w:rsidP="00DF05C6">
      <w:pPr>
        <w:pStyle w:val="Normal1"/>
        <w:jc w:val="both"/>
        <w:rPr>
          <w:rFonts w:ascii="Calibri" w:eastAsia="Arimo Regular" w:hAnsi="Calibri" w:cs="Calibri"/>
          <w:color w:val="000000"/>
          <w:sz w:val="22"/>
          <w:lang w:val="es-ES"/>
        </w:rPr>
      </w:pPr>
      <w:r w:rsidRPr="00DF05C6">
        <w:rPr>
          <w:rFonts w:ascii="Calibri" w:eastAsia="Arimo Regular" w:hAnsi="Calibri" w:cs="Calibri"/>
          <w:color w:val="000000"/>
          <w:sz w:val="22"/>
          <w:lang w:val="es-ES"/>
        </w:rPr>
        <w:t xml:space="preserve">Más del 60% de los equipos de SOC están saturados con datos de amenazas irrelevantes, y la mayoría (53%) de las alertas de seguridad en la nube pueden considerarse “ruido”, según el </w:t>
      </w:r>
      <w:hyperlink r:id="rId10" w:history="1">
        <w:r w:rsidR="0007185D" w:rsidRPr="00600475">
          <w:rPr>
            <w:rStyle w:val="Hipervnculo"/>
            <w:rFonts w:ascii="Calibri" w:eastAsia="Arimo Regular" w:hAnsi="Calibri" w:cs="Calibri"/>
            <w:sz w:val="22"/>
            <w:lang w:val="es-ES"/>
          </w:rPr>
          <w:t>estudio Threat Intelligence Benchmark 2025</w:t>
        </w:r>
      </w:hyperlink>
      <w:r w:rsidR="0007185D" w:rsidRPr="0007185D">
        <w:rPr>
          <w:rFonts w:ascii="Calibri" w:eastAsia="Arimo Regular" w:hAnsi="Calibri" w:cs="Calibri"/>
          <w:color w:val="000000"/>
          <w:sz w:val="22"/>
          <w:lang w:val="es-ES"/>
        </w:rPr>
        <w:t xml:space="preserve"> encargado por Google. </w:t>
      </w:r>
    </w:p>
    <w:p w14:paraId="60BB5F34" w14:textId="77777777" w:rsidR="00DF05C6" w:rsidRPr="00DF05C6" w:rsidRDefault="0007185D" w:rsidP="00DF05C6">
      <w:pPr>
        <w:pStyle w:val="Normal1"/>
        <w:jc w:val="both"/>
        <w:rPr>
          <w:rFonts w:ascii="Calibri" w:eastAsia="Arimo Regular" w:hAnsi="Calibri" w:cs="Calibri"/>
          <w:color w:val="000000"/>
          <w:sz w:val="22"/>
          <w:lang w:val="es-ES"/>
        </w:rPr>
      </w:pPr>
      <w:r w:rsidRPr="0007185D">
        <w:rPr>
          <w:rFonts w:ascii="Calibri" w:eastAsia="Arimo Regular" w:hAnsi="Calibri" w:cs="Calibri"/>
          <w:color w:val="000000"/>
          <w:sz w:val="22"/>
          <w:lang w:val="es-ES"/>
        </w:rPr>
        <w:t xml:space="preserve">La última versión de ManageEngine refuerza la posición de Log360 como una </w:t>
      </w:r>
      <w:hyperlink r:id="rId11" w:history="1">
        <w:r w:rsidRPr="00600475">
          <w:rPr>
            <w:rStyle w:val="Hipervnculo"/>
            <w:rFonts w:ascii="Calibri" w:eastAsia="Arimo Regular" w:hAnsi="Calibri" w:cs="Calibri"/>
            <w:sz w:val="22"/>
            <w:lang w:val="es-ES"/>
          </w:rPr>
          <w:t>plataforma de seguridad unificada</w:t>
        </w:r>
      </w:hyperlink>
      <w:r w:rsidRPr="0007185D">
        <w:rPr>
          <w:rFonts w:ascii="Calibri" w:eastAsia="Arimo Regular" w:hAnsi="Calibri" w:cs="Calibri"/>
          <w:color w:val="000000"/>
          <w:sz w:val="22"/>
          <w:lang w:val="es-ES"/>
        </w:rPr>
        <w:t xml:space="preserve"> </w:t>
      </w:r>
      <w:r w:rsidR="00DF05C6" w:rsidRPr="00DF05C6">
        <w:rPr>
          <w:rFonts w:ascii="Calibri" w:eastAsia="Arimo Regular" w:hAnsi="Calibri" w:cs="Calibri"/>
          <w:color w:val="000000"/>
          <w:sz w:val="22"/>
          <w:lang w:val="es-ES"/>
        </w:rPr>
        <w:t>al filtrar el ruido de las alertas de seguridad, lo que permite una clasificación más rápida y reduce los problemas de agotamiento que enfrentan los analistas.</w:t>
      </w:r>
    </w:p>
    <w:p w14:paraId="0F403FB6" w14:textId="77777777" w:rsidR="00DF05C6" w:rsidRPr="00DF05C6" w:rsidRDefault="00DF05C6" w:rsidP="00DF05C6">
      <w:pPr>
        <w:pStyle w:val="Normal1"/>
        <w:jc w:val="both"/>
        <w:rPr>
          <w:rFonts w:ascii="Calibri" w:eastAsia="Arimo Regular" w:hAnsi="Calibri" w:cs="Calibri"/>
          <w:color w:val="000000"/>
          <w:sz w:val="22"/>
          <w:lang w:val="es-ES"/>
        </w:rPr>
      </w:pPr>
      <w:r w:rsidRPr="00DF05C6">
        <w:rPr>
          <w:rFonts w:ascii="Calibri" w:eastAsia="Arimo Regular" w:hAnsi="Calibri" w:cs="Calibri"/>
          <w:color w:val="000000"/>
          <w:sz w:val="22"/>
          <w:lang w:val="es-ES"/>
        </w:rPr>
        <w:t>"</w:t>
      </w:r>
      <w:r w:rsidRPr="00DF05C6">
        <w:rPr>
          <w:rFonts w:ascii="Calibri" w:eastAsia="Arimo Regular" w:hAnsi="Calibri" w:cs="Calibri"/>
          <w:i/>
          <w:color w:val="000000"/>
          <w:sz w:val="22"/>
          <w:lang w:val="es-ES"/>
        </w:rPr>
        <w:t>El mayor desafío para los equipos de seguridad hoy en día no es recopilar datos, sino separar las señales genuinas del ruido abrumador</w:t>
      </w:r>
      <w:r w:rsidRPr="00DF05C6">
        <w:rPr>
          <w:rFonts w:ascii="Calibri" w:eastAsia="Arimo Regular" w:hAnsi="Calibri" w:cs="Calibri"/>
          <w:color w:val="000000"/>
          <w:sz w:val="22"/>
          <w:lang w:val="es-ES"/>
        </w:rPr>
        <w:t>", afirma Manikandan Thangaraj, vicepresidente de ManageEngine. "</w:t>
      </w:r>
      <w:r w:rsidRPr="00DF05C6">
        <w:rPr>
          <w:rFonts w:ascii="Calibri" w:eastAsia="Arimo Regular" w:hAnsi="Calibri" w:cs="Calibri"/>
          <w:i/>
          <w:color w:val="000000"/>
          <w:sz w:val="22"/>
          <w:lang w:val="es-ES"/>
        </w:rPr>
        <w:t xml:space="preserve">Hemos rediseñado nuestro sistema de detección no solo para crear reglas más complejas, sino también para ofrecer una verdadera eficiencia y empoderar a SOC con capacidades de ajuste de reglas flexibles y </w:t>
      </w:r>
      <w:r w:rsidRPr="00DF05C6">
        <w:rPr>
          <w:rFonts w:ascii="Calibri" w:eastAsia="Arimo Regular" w:hAnsi="Calibri" w:cs="Calibri"/>
          <w:i/>
          <w:color w:val="000000"/>
          <w:sz w:val="22"/>
          <w:lang w:val="es-ES"/>
        </w:rPr>
        <w:lastRenderedPageBreak/>
        <w:t>granulares que van más allá de los umbrales simples. Con este avance, los analistas de SOC pueden filtrar el ruido benigno sin sacrificar la capacidad de detectar una verdadera amenaza. Esto cambia nuestro enfoque a una búsqueda específica de amenazas reales, asegurando que estamos protegiendo de manera efectiva y no solo monitoreando 24/7</w:t>
      </w:r>
      <w:r w:rsidRPr="00DF05C6">
        <w:rPr>
          <w:rFonts w:ascii="Calibri" w:eastAsia="Arimo Regular" w:hAnsi="Calibri" w:cs="Calibri"/>
          <w:color w:val="000000"/>
          <w:sz w:val="22"/>
          <w:lang w:val="es-ES"/>
        </w:rPr>
        <w:t>".</w:t>
      </w:r>
    </w:p>
    <w:p w14:paraId="3A708527" w14:textId="77777777" w:rsidR="00DF05C6" w:rsidRPr="00DF05C6" w:rsidRDefault="00DF05C6" w:rsidP="00DF05C6">
      <w:pPr>
        <w:pStyle w:val="Normal1"/>
        <w:jc w:val="both"/>
        <w:rPr>
          <w:rFonts w:ascii="Calibri" w:eastAsia="Arimo Regular" w:hAnsi="Calibri" w:cs="Calibri"/>
          <w:color w:val="000000"/>
          <w:sz w:val="22"/>
          <w:lang w:val="es-ES"/>
        </w:rPr>
      </w:pPr>
      <w:r w:rsidRPr="00DF05C6">
        <w:rPr>
          <w:rFonts w:ascii="Calibri" w:eastAsia="Arimo Regular" w:hAnsi="Calibri" w:cs="Calibri"/>
          <w:color w:val="000000"/>
          <w:sz w:val="22"/>
          <w:lang w:val="es-ES"/>
        </w:rPr>
        <w:t>Las nuevas capacidades incluyen una consola de detección centralizada, filtros de reglas a nivel de objeto y más de</w:t>
      </w:r>
      <w:r w:rsidR="0007185D" w:rsidRPr="0007185D">
        <w:rPr>
          <w:rFonts w:ascii="Calibri" w:eastAsia="Arimo Regular" w:hAnsi="Calibri" w:cs="Calibri"/>
          <w:color w:val="000000"/>
          <w:sz w:val="22"/>
          <w:lang w:val="es-ES"/>
        </w:rPr>
        <w:t xml:space="preserve"> </w:t>
      </w:r>
      <w:hyperlink r:id="rId12" w:history="1">
        <w:r w:rsidR="0007185D" w:rsidRPr="0007185D">
          <w:rPr>
            <w:rStyle w:val="Hipervnculo"/>
            <w:rFonts w:ascii="Calibri" w:eastAsia="Arimo Regular" w:hAnsi="Calibri" w:cs="Calibri"/>
            <w:sz w:val="22"/>
            <w:lang w:val="es-ES"/>
          </w:rPr>
          <w:t>1.500 reglas de detección prediseñadas</w:t>
        </w:r>
      </w:hyperlink>
      <w:r w:rsidR="0007185D" w:rsidRPr="0007185D">
        <w:rPr>
          <w:rFonts w:ascii="Calibri" w:eastAsia="Arimo Regular" w:hAnsi="Calibri" w:cs="Calibri"/>
          <w:color w:val="000000"/>
          <w:sz w:val="22"/>
          <w:lang w:val="es-ES"/>
        </w:rPr>
        <w:t xml:space="preserve"> </w:t>
      </w:r>
      <w:r w:rsidRPr="00DF05C6">
        <w:rPr>
          <w:rFonts w:ascii="Calibri" w:eastAsia="Arimo Regular" w:hAnsi="Calibri" w:cs="Calibri"/>
          <w:color w:val="000000"/>
          <w:sz w:val="22"/>
          <w:lang w:val="es-ES"/>
        </w:rPr>
        <w:t xml:space="preserve">que se actualizan continuamente desde la nube. </w:t>
      </w:r>
    </w:p>
    <w:p w14:paraId="5DFDEDF4" w14:textId="77777777" w:rsidR="00DF05C6" w:rsidRDefault="00DF05C6" w:rsidP="00DF05C6">
      <w:pPr>
        <w:pStyle w:val="Normal1"/>
        <w:jc w:val="both"/>
        <w:rPr>
          <w:rFonts w:ascii="Calibri" w:eastAsia="Arimo Regular" w:hAnsi="Calibri" w:cs="Calibri"/>
          <w:color w:val="000000"/>
          <w:sz w:val="22"/>
          <w:lang w:val="es-ES"/>
        </w:rPr>
      </w:pPr>
      <w:r w:rsidRPr="00DF05C6">
        <w:rPr>
          <w:rFonts w:ascii="Calibri" w:eastAsia="Arimo Regular" w:hAnsi="Calibri" w:cs="Calibri"/>
          <w:color w:val="000000"/>
          <w:sz w:val="22"/>
          <w:lang w:val="es-ES"/>
        </w:rPr>
        <w:t>Esta actualización también sienta las bases para la escalabilidad de nivel empresarial, con una arquitectura de varios niveles, procesamiento de registros especializado en roles y recopilación centralizada de varios sitios, lo que garantiza el rendimiento y la resiliencia a medida que crecen las fuentes de datos y los volúmenes de registros.</w:t>
      </w:r>
    </w:p>
    <w:p w14:paraId="0EC60CD0" w14:textId="651B28ED" w:rsidR="0007185D" w:rsidRPr="0007185D" w:rsidRDefault="0007185D" w:rsidP="00DF05C6">
      <w:pPr>
        <w:pStyle w:val="Normal1"/>
        <w:jc w:val="both"/>
        <w:rPr>
          <w:rFonts w:ascii="Calibri" w:eastAsia="Arimo Regular" w:hAnsi="Calibri" w:cs="Calibri"/>
          <w:b/>
          <w:bCs/>
          <w:color w:val="000000"/>
          <w:sz w:val="22"/>
          <w:lang w:val="es-ES"/>
        </w:rPr>
      </w:pPr>
      <w:r w:rsidRPr="0007185D">
        <w:rPr>
          <w:rFonts w:ascii="Calibri" w:eastAsia="Arimo Regular" w:hAnsi="Calibri" w:cs="Calibri"/>
          <w:b/>
          <w:bCs/>
          <w:color w:val="000000"/>
          <w:sz w:val="22"/>
          <w:lang w:val="es-ES"/>
        </w:rPr>
        <w:t xml:space="preserve">El impacto real de Log360 </w:t>
      </w:r>
    </w:p>
    <w:p w14:paraId="348B3B27" w14:textId="77777777" w:rsidR="00DF05C6" w:rsidRPr="00DF05C6" w:rsidRDefault="00DF05C6" w:rsidP="00DF05C6">
      <w:pPr>
        <w:pStyle w:val="Normal1"/>
        <w:jc w:val="both"/>
        <w:rPr>
          <w:rFonts w:ascii="Calibri" w:eastAsia="Arimo Regular" w:hAnsi="Calibri" w:cs="Calibri"/>
          <w:color w:val="000000"/>
          <w:sz w:val="22"/>
          <w:lang w:val="es-ES"/>
        </w:rPr>
      </w:pPr>
      <w:r w:rsidRPr="00DF05C6">
        <w:rPr>
          <w:rFonts w:ascii="Calibri" w:eastAsia="Arimo Regular" w:hAnsi="Calibri" w:cs="Calibri"/>
          <w:color w:val="000000"/>
          <w:sz w:val="22"/>
          <w:lang w:val="es-ES"/>
        </w:rPr>
        <w:t xml:space="preserve">ECSO 911, un cliente de Log360 de Estados Unidos, ha validado el impacto de estas mejoras, demostrando una reducción medible en las alertas de falsos positivos y ciclos más rápidos de detección a respuesta. </w:t>
      </w:r>
    </w:p>
    <w:p w14:paraId="5C6904AF" w14:textId="77777777" w:rsidR="00DF05C6" w:rsidRPr="00DF05C6" w:rsidRDefault="00DF05C6" w:rsidP="00DF05C6">
      <w:pPr>
        <w:pStyle w:val="Normal1"/>
        <w:jc w:val="both"/>
        <w:rPr>
          <w:rFonts w:ascii="Calibri" w:eastAsia="Arimo Regular" w:hAnsi="Calibri" w:cs="Calibri"/>
          <w:color w:val="000000"/>
          <w:sz w:val="22"/>
          <w:lang w:val="es-ES"/>
        </w:rPr>
      </w:pPr>
      <w:r w:rsidRPr="00DF05C6">
        <w:rPr>
          <w:rFonts w:ascii="Calibri" w:eastAsia="Arimo Regular" w:hAnsi="Calibri" w:cs="Calibri"/>
          <w:color w:val="000000"/>
          <w:sz w:val="22"/>
          <w:lang w:val="es-ES"/>
        </w:rPr>
        <w:t>ECSO es una organización con labores de despacho de emergencia y Punto de Respuesta de Seguridad Pública (PSAP) para todas las líneas 911 en el condado de Jackson y el Parque Nacional Crater Lake, en el estado de Oregón.</w:t>
      </w:r>
    </w:p>
    <w:p w14:paraId="33FC03FF" w14:textId="77777777" w:rsidR="00DF05C6" w:rsidRDefault="00DF05C6" w:rsidP="00DF05C6">
      <w:pPr>
        <w:pStyle w:val="Normal1"/>
        <w:jc w:val="both"/>
        <w:rPr>
          <w:rFonts w:ascii="Calibri" w:eastAsia="Arimo Regular" w:hAnsi="Calibri" w:cs="Calibri"/>
          <w:color w:val="000000"/>
          <w:sz w:val="22"/>
          <w:lang w:val="es-ES"/>
        </w:rPr>
      </w:pPr>
      <w:r w:rsidRPr="00DF05C6">
        <w:rPr>
          <w:rFonts w:ascii="Calibri" w:eastAsia="Arimo Regular" w:hAnsi="Calibri" w:cs="Calibri"/>
          <w:color w:val="000000"/>
          <w:sz w:val="22"/>
          <w:lang w:val="es-ES"/>
        </w:rPr>
        <w:t>"</w:t>
      </w:r>
      <w:r w:rsidRPr="00DF05C6">
        <w:rPr>
          <w:rFonts w:ascii="Calibri" w:eastAsia="Arimo Regular" w:hAnsi="Calibri" w:cs="Calibri"/>
          <w:i/>
          <w:color w:val="000000"/>
          <w:sz w:val="22"/>
          <w:lang w:val="es-ES"/>
        </w:rPr>
        <w:t>Para un centro de comunicaciones de emergencia 911, la seguridad es la base de la confianza pública, y cualquier falla tiene consecuencias inmediatas en el mundo real. Las últimas capacidades de detección avanzada no son opcionales, son esenciales</w:t>
      </w:r>
      <w:r w:rsidRPr="00DF05C6">
        <w:rPr>
          <w:rFonts w:ascii="Calibri" w:eastAsia="Arimo Regular" w:hAnsi="Calibri" w:cs="Calibri"/>
          <w:color w:val="000000"/>
          <w:sz w:val="22"/>
          <w:lang w:val="es-ES"/>
        </w:rPr>
        <w:t>", comenta Corey Nelson, gerente de TI de ECSO 911. "</w:t>
      </w:r>
      <w:r w:rsidRPr="00DF05C6">
        <w:rPr>
          <w:rFonts w:ascii="Calibri" w:eastAsia="Arimo Regular" w:hAnsi="Calibri" w:cs="Calibri"/>
          <w:i/>
          <w:color w:val="000000"/>
          <w:sz w:val="22"/>
          <w:lang w:val="es-ES"/>
        </w:rPr>
        <w:t>Con las reglas de detección y técnicas de filtrado optimizadas de Log360, hemos reducido las alertas falsas o de baja prioridad en un 90%, lo que permite a nuestros analistas centrarse en las amenazas que más importan. Esta mejora ha acelerado significativamente nuestra capacidad para identificar y responder a incidentes cibernéticos reales</w:t>
      </w:r>
      <w:r w:rsidRPr="00DF05C6">
        <w:rPr>
          <w:rFonts w:ascii="Calibri" w:eastAsia="Arimo Regular" w:hAnsi="Calibri" w:cs="Calibri"/>
          <w:color w:val="000000"/>
          <w:sz w:val="22"/>
          <w:lang w:val="es-ES"/>
        </w:rPr>
        <w:t>".</w:t>
      </w:r>
    </w:p>
    <w:p w14:paraId="1AD4A91A" w14:textId="584396C6" w:rsidR="0007185D" w:rsidRPr="0007185D" w:rsidRDefault="0007185D" w:rsidP="00DF05C6">
      <w:pPr>
        <w:pStyle w:val="Normal1"/>
        <w:jc w:val="both"/>
        <w:rPr>
          <w:rFonts w:ascii="Calibri" w:eastAsia="Arimo Regular" w:hAnsi="Calibri" w:cs="Calibri"/>
          <w:b/>
          <w:bCs/>
          <w:color w:val="000000"/>
          <w:sz w:val="22"/>
          <w:lang w:val="es-ES"/>
        </w:rPr>
      </w:pPr>
      <w:r w:rsidRPr="0007185D">
        <w:rPr>
          <w:rFonts w:ascii="Calibri" w:eastAsia="Arimo Regular" w:hAnsi="Calibri" w:cs="Calibri"/>
          <w:b/>
          <w:bCs/>
          <w:color w:val="000000"/>
          <w:sz w:val="22"/>
          <w:lang w:val="es-ES"/>
        </w:rPr>
        <w:t>Aspectos destacados de la nueva actualización de Log360</w:t>
      </w:r>
    </w:p>
    <w:p w14:paraId="7A55CCBE" w14:textId="77777777" w:rsidR="00DF05C6" w:rsidRPr="00DF05C6" w:rsidRDefault="0007185D" w:rsidP="00DF05C6">
      <w:pPr>
        <w:pStyle w:val="Prrafodelista"/>
        <w:numPr>
          <w:ilvl w:val="0"/>
          <w:numId w:val="28"/>
        </w:numPr>
        <w:rPr>
          <w:rFonts w:ascii="Calibri" w:eastAsia="Arimo Regular" w:hAnsi="Calibri" w:cs="Calibri"/>
          <w:color w:val="000000"/>
          <w:sz w:val="22"/>
          <w:lang w:val="es-ES"/>
        </w:rPr>
      </w:pPr>
      <w:r w:rsidRPr="00DF05C6">
        <w:rPr>
          <w:rFonts w:ascii="Calibri" w:eastAsia="Arimo Regular" w:hAnsi="Calibri" w:cs="Calibri"/>
          <w:b/>
          <w:bCs/>
          <w:color w:val="000000"/>
          <w:sz w:val="22"/>
          <w:lang w:val="es-ES"/>
        </w:rPr>
        <w:t>Detección rediseñada</w:t>
      </w:r>
      <w:r w:rsidRPr="00DF05C6">
        <w:rPr>
          <w:rFonts w:ascii="Calibri" w:eastAsia="Arimo Regular" w:hAnsi="Calibri" w:cs="Calibri"/>
          <w:color w:val="000000"/>
          <w:sz w:val="22"/>
          <w:lang w:val="es-ES"/>
        </w:rPr>
        <w:t xml:space="preserve">: </w:t>
      </w:r>
      <w:r w:rsidR="00DF05C6" w:rsidRPr="00DF05C6">
        <w:rPr>
          <w:rFonts w:ascii="Calibri" w:eastAsia="Arimo Regular" w:hAnsi="Calibri" w:cs="Calibri"/>
          <w:color w:val="000000"/>
          <w:sz w:val="22"/>
          <w:lang w:val="es-ES"/>
        </w:rPr>
        <w:t xml:space="preserve">Log360 presenta una consola de detección unificada que consolida todo el contenido de detección, incluidas las reglas alineadas con </w:t>
      </w:r>
      <w:hyperlink r:id="rId13" w:history="1">
        <w:r w:rsidRPr="00DF05C6">
          <w:rPr>
            <w:rStyle w:val="Hipervnculo"/>
            <w:rFonts w:ascii="Calibri" w:eastAsia="Arimo Regular" w:hAnsi="Calibri" w:cs="Calibri"/>
            <w:sz w:val="22"/>
            <w:lang w:val="es-ES"/>
          </w:rPr>
          <w:t>MITRE ATT&amp;CK</w:t>
        </w:r>
      </w:hyperlink>
      <w:r w:rsidRPr="00DF05C6">
        <w:rPr>
          <w:rFonts w:ascii="Calibri" w:eastAsia="Arimo Regular" w:hAnsi="Calibri" w:cs="Calibri"/>
          <w:color w:val="000000"/>
          <w:sz w:val="22"/>
          <w:lang w:val="es-ES"/>
        </w:rPr>
        <w:t xml:space="preserve">, la lógica de </w:t>
      </w:r>
      <w:hyperlink r:id="rId14" w:history="1">
        <w:r w:rsidRPr="00DF05C6">
          <w:rPr>
            <w:rStyle w:val="Hipervnculo"/>
            <w:rFonts w:ascii="Calibri" w:eastAsia="Arimo Regular" w:hAnsi="Calibri" w:cs="Calibri"/>
            <w:sz w:val="22"/>
            <w:lang w:val="es-ES"/>
          </w:rPr>
          <w:t>correlación</w:t>
        </w:r>
      </w:hyperlink>
      <w:r w:rsidRPr="00DF05C6">
        <w:rPr>
          <w:rFonts w:ascii="Calibri" w:eastAsia="Arimo Regular" w:hAnsi="Calibri" w:cs="Calibri"/>
          <w:color w:val="000000"/>
          <w:sz w:val="22"/>
          <w:lang w:val="es-ES"/>
        </w:rPr>
        <w:t>, la información de  análisis de comportamiento de usuarios y entidades (</w:t>
      </w:r>
      <w:hyperlink r:id="rId15" w:history="1">
        <w:r w:rsidRPr="00DF05C6">
          <w:rPr>
            <w:rStyle w:val="Hipervnculo"/>
            <w:rFonts w:ascii="Calibri" w:eastAsia="Arimo Regular" w:hAnsi="Calibri" w:cs="Calibri"/>
            <w:sz w:val="22"/>
            <w:lang w:val="es-ES"/>
          </w:rPr>
          <w:t>UEBA</w:t>
        </w:r>
      </w:hyperlink>
      <w:r w:rsidRPr="00DF05C6">
        <w:rPr>
          <w:rFonts w:ascii="Calibri" w:eastAsia="Arimo Regular" w:hAnsi="Calibri" w:cs="Calibri"/>
          <w:color w:val="000000"/>
          <w:sz w:val="22"/>
          <w:lang w:val="es-ES"/>
        </w:rPr>
        <w:t xml:space="preserve">) </w:t>
      </w:r>
      <w:r w:rsidR="00DF05C6" w:rsidRPr="00DF05C6">
        <w:rPr>
          <w:rFonts w:ascii="Calibri" w:eastAsia="Arimo Regular" w:hAnsi="Calibri" w:cs="Calibri"/>
          <w:color w:val="000000"/>
          <w:sz w:val="22"/>
          <w:lang w:val="es-ES"/>
        </w:rPr>
        <w:t xml:space="preserve">y las fuentes de inteligencia de amenazas, en un solo panel. Los equipos de seguridad pueden crear reglas de detección estándar, basadas en anomalías o avanzadas a través de una interfaz de usuario interactiva, sin escribir consultas complejas. Los filtros de nivel de objeto en usuarios, grupos y unidades organizativas de </w:t>
      </w:r>
      <w:r w:rsidR="00DF05C6" w:rsidRPr="00DF05C6">
        <w:rPr>
          <w:rFonts w:ascii="Calibri" w:eastAsia="Arimo Regular" w:hAnsi="Calibri" w:cs="Calibri"/>
          <w:i/>
          <w:color w:val="000000"/>
          <w:sz w:val="22"/>
          <w:lang w:val="es-ES"/>
        </w:rPr>
        <w:t>Active Directory</w:t>
      </w:r>
      <w:r w:rsidR="00DF05C6" w:rsidRPr="00DF05C6">
        <w:rPr>
          <w:rFonts w:ascii="Calibri" w:eastAsia="Arimo Regular" w:hAnsi="Calibri" w:cs="Calibri"/>
          <w:color w:val="000000"/>
          <w:sz w:val="22"/>
          <w:lang w:val="es-ES"/>
        </w:rPr>
        <w:t xml:space="preserve"> garantizan que las identidades privilegiadas se supervisen continuamente mientras se suprime el ruido de baja prioridad.</w:t>
      </w:r>
    </w:p>
    <w:p w14:paraId="6B68C4BF" w14:textId="28DC550F" w:rsidR="00DF05C6" w:rsidRPr="00DF05C6" w:rsidRDefault="0007185D" w:rsidP="00DF05C6">
      <w:pPr>
        <w:pStyle w:val="Prrafodelista"/>
        <w:numPr>
          <w:ilvl w:val="0"/>
          <w:numId w:val="28"/>
        </w:numPr>
        <w:rPr>
          <w:rFonts w:ascii="Calibri" w:eastAsia="Arimo Regular" w:hAnsi="Calibri" w:cs="Calibri"/>
          <w:color w:val="000000"/>
          <w:sz w:val="22"/>
          <w:lang w:val="es-ES"/>
        </w:rPr>
      </w:pPr>
      <w:r w:rsidRPr="00DF05C6">
        <w:rPr>
          <w:rFonts w:ascii="Calibri" w:eastAsia="Arimo Regular" w:hAnsi="Calibri" w:cs="Calibri"/>
          <w:b/>
          <w:bCs/>
          <w:color w:val="000000"/>
          <w:sz w:val="22"/>
          <w:lang w:val="es-ES"/>
        </w:rPr>
        <w:lastRenderedPageBreak/>
        <w:t xml:space="preserve">Contenido </w:t>
      </w:r>
      <w:r w:rsidR="00DF05C6" w:rsidRPr="00DF05C6">
        <w:rPr>
          <w:rFonts w:ascii="Calibri" w:eastAsia="Arimo Regular" w:hAnsi="Calibri" w:cs="Calibri"/>
          <w:b/>
          <w:bCs/>
          <w:color w:val="000000"/>
          <w:sz w:val="22"/>
          <w:lang w:val="es-ES"/>
        </w:rPr>
        <w:t>disponible</w:t>
      </w:r>
      <w:r w:rsidRPr="00DF05C6">
        <w:rPr>
          <w:rFonts w:ascii="Calibri" w:eastAsia="Arimo Regular" w:hAnsi="Calibri" w:cs="Calibri"/>
          <w:b/>
          <w:bCs/>
          <w:color w:val="000000"/>
          <w:sz w:val="22"/>
          <w:lang w:val="es-ES"/>
        </w:rPr>
        <w:t xml:space="preserve"> en la nube</w:t>
      </w:r>
      <w:r w:rsidRPr="00DF05C6">
        <w:rPr>
          <w:rFonts w:ascii="Calibri" w:eastAsia="Arimo Regular" w:hAnsi="Calibri" w:cs="Calibri"/>
          <w:color w:val="000000"/>
          <w:sz w:val="22"/>
          <w:lang w:val="es-ES"/>
        </w:rPr>
        <w:t xml:space="preserve">: </w:t>
      </w:r>
      <w:r w:rsidR="00DF05C6" w:rsidRPr="00DF05C6">
        <w:rPr>
          <w:rFonts w:ascii="Calibri" w:eastAsia="Arimo Regular" w:hAnsi="Calibri" w:cs="Calibri"/>
          <w:color w:val="000000"/>
          <w:sz w:val="22"/>
          <w:lang w:val="es-ES"/>
        </w:rPr>
        <w:t>Más de 1.500 reglas prediseñadas cubren una amplia gama de casos de uso, desde la escalada de privilegios y el movimiento lateral hasta la gestión de endpoints y los ataques SaaS. Estas reglas son investigadas, seleccionadas y probadas por el equipo interno de investigación de amenazas de ManageEngine para garantizar la precisión y un bajo número de falsos positivos, y se entregan a través de un mecanismo de actualización basado en la nube para que los usuarios siempre se mantengan actualizados. La adopción de reglas de detección basadas en SIGMA también se incluye en este paquete refinado.</w:t>
      </w:r>
      <w:r w:rsidR="00DF05C6">
        <w:rPr>
          <w:rFonts w:ascii="Calibri" w:eastAsia="Arimo Regular" w:hAnsi="Calibri" w:cs="Calibri"/>
          <w:color w:val="000000"/>
          <w:sz w:val="22"/>
          <w:lang w:val="es-ES"/>
        </w:rPr>
        <w:br/>
      </w:r>
    </w:p>
    <w:p w14:paraId="63F05124" w14:textId="02B5B57D" w:rsidR="0007185D" w:rsidRPr="00DF05C6" w:rsidRDefault="0007185D" w:rsidP="00DF05C6">
      <w:pPr>
        <w:pStyle w:val="Prrafodelista"/>
        <w:numPr>
          <w:ilvl w:val="0"/>
          <w:numId w:val="28"/>
        </w:numPr>
        <w:rPr>
          <w:rFonts w:ascii="Calibri" w:eastAsia="Arimo Regular" w:hAnsi="Calibri" w:cs="Calibri"/>
          <w:color w:val="000000"/>
          <w:sz w:val="22"/>
          <w:lang w:val="es-ES"/>
        </w:rPr>
      </w:pPr>
      <w:r w:rsidRPr="00DF05C6">
        <w:rPr>
          <w:rFonts w:ascii="Calibri" w:eastAsia="Arimo Regular" w:hAnsi="Calibri" w:cs="Calibri"/>
          <w:b/>
          <w:bCs/>
          <w:color w:val="000000"/>
          <w:sz w:val="22"/>
          <w:lang w:val="es-ES"/>
        </w:rPr>
        <w:t>Arquitectura empresarial de varios niveles</w:t>
      </w:r>
      <w:r w:rsidRPr="00DF05C6">
        <w:rPr>
          <w:rFonts w:ascii="Calibri" w:eastAsia="Arimo Regular" w:hAnsi="Calibri" w:cs="Calibri"/>
          <w:color w:val="000000"/>
          <w:sz w:val="22"/>
          <w:lang w:val="es-ES"/>
        </w:rPr>
        <w:t xml:space="preserve">: las </w:t>
      </w:r>
      <w:hyperlink r:id="rId16" w:history="1">
        <w:r w:rsidRPr="00DF05C6">
          <w:rPr>
            <w:rStyle w:val="Hipervnculo"/>
            <w:rFonts w:ascii="Calibri" w:eastAsia="Arimo Regular" w:hAnsi="Calibri" w:cs="Calibri"/>
            <w:sz w:val="22"/>
            <w:lang w:val="es-ES"/>
          </w:rPr>
          <w:t>mejoras de la arquitectura de Log360</w:t>
        </w:r>
      </w:hyperlink>
      <w:r w:rsidRPr="00DF05C6">
        <w:rPr>
          <w:rFonts w:ascii="Calibri" w:eastAsia="Arimo Regular" w:hAnsi="Calibri" w:cs="Calibri"/>
          <w:color w:val="000000"/>
          <w:sz w:val="22"/>
          <w:lang w:val="es-ES"/>
        </w:rPr>
        <w:t xml:space="preserve"> </w:t>
      </w:r>
      <w:r w:rsidR="00DF05C6" w:rsidRPr="00DF05C6">
        <w:rPr>
          <w:rFonts w:ascii="Calibri" w:eastAsia="Arimo Regular" w:hAnsi="Calibri" w:cs="Calibri"/>
          <w:color w:val="000000"/>
          <w:sz w:val="22"/>
          <w:lang w:val="es-ES"/>
        </w:rPr>
        <w:t>permiten la escalabilidad horizontal con clústeres de procesadores de registro y procesamiento basado en roles (correlación, enriquecimiento, alertas), así como la recopilación centralizada de sitios distribuidos, lo que garantiza la continuidad del rendimiento incluso en grandes empresas distribuidas geográficamente.</w:t>
      </w:r>
    </w:p>
    <w:p w14:paraId="7CD995FE" w14:textId="5BCECB31" w:rsidR="0007185D" w:rsidRPr="0007185D" w:rsidRDefault="0007185D" w:rsidP="0007185D">
      <w:pPr>
        <w:pStyle w:val="Normal1"/>
        <w:jc w:val="both"/>
        <w:rPr>
          <w:rFonts w:ascii="Calibri" w:eastAsia="Arimo Regular" w:hAnsi="Calibri" w:cs="Calibri"/>
          <w:b/>
          <w:bCs/>
          <w:color w:val="000000"/>
          <w:sz w:val="22"/>
          <w:lang w:val="es-ES"/>
        </w:rPr>
      </w:pPr>
      <w:r w:rsidRPr="0007185D">
        <w:rPr>
          <w:rFonts w:ascii="Calibri" w:eastAsia="Arimo Regular" w:hAnsi="Calibri" w:cs="Calibri"/>
          <w:b/>
          <w:bCs/>
          <w:color w:val="000000"/>
          <w:sz w:val="22"/>
          <w:lang w:val="es-ES"/>
        </w:rPr>
        <w:t>Acerca de Log360</w:t>
      </w:r>
    </w:p>
    <w:p w14:paraId="425C1B13" w14:textId="711A7612" w:rsidR="0007185D" w:rsidRPr="0007185D" w:rsidRDefault="0007185D" w:rsidP="0007185D">
      <w:pPr>
        <w:pStyle w:val="Normal1"/>
        <w:jc w:val="both"/>
        <w:rPr>
          <w:rFonts w:ascii="Calibri" w:eastAsia="Calibri" w:hAnsi="Calibri" w:cs="Calibri"/>
          <w:color w:val="000000"/>
          <w:sz w:val="20"/>
          <w:lang w:val="es-ES"/>
        </w:rPr>
      </w:pPr>
      <w:r w:rsidRPr="0007185D">
        <w:rPr>
          <w:rFonts w:ascii="Calibri" w:eastAsia="Calibri" w:hAnsi="Calibri" w:cs="Calibri"/>
          <w:color w:val="000000"/>
          <w:sz w:val="20"/>
          <w:lang w:val="es-ES"/>
        </w:rPr>
        <w:t>Log360</w:t>
      </w:r>
      <w:r w:rsidR="00DF05C6">
        <w:rPr>
          <w:rFonts w:ascii="Calibri" w:eastAsia="Calibri" w:hAnsi="Calibri" w:cs="Calibri"/>
          <w:color w:val="000000"/>
          <w:sz w:val="20"/>
          <w:lang w:val="es-ES"/>
        </w:rPr>
        <w:t xml:space="preserve"> es una solución SIEM unificada</w:t>
      </w:r>
      <w:r w:rsidRPr="0007185D">
        <w:rPr>
          <w:rFonts w:ascii="Calibri" w:eastAsia="Calibri" w:hAnsi="Calibri" w:cs="Calibri"/>
          <w:color w:val="000000"/>
          <w:sz w:val="20"/>
          <w:lang w:val="es-ES"/>
        </w:rPr>
        <w:t xml:space="preserve"> con capacidades integradas de DLP y CASB que detecta, prioriza, investiga y responde a las amenazas de seguridad. Vigil IQ, el módulo TDIR de la solución, combina inteligencia de amenazas, un banco de trabajo de incidentes analítico, detección de anomalías basada en ML y técnicas de detección de ataques basadas en reglas para detectar ataques sofisticados, y ofrece una consola de gestión de incidentes para una corrección eficaz. Con la detección rediseñada, que incluye una consola de detección centralizada, creación de reglas multimodo, información de ajuste y filtros a nivel de objeto, Log360 eleva la calidad de la señal y reduce los falsos positivos. La solución proporciona visibilidad holística en entornos locales, en la nube e híbridos con análisis y monitoreo de seguridad intuitivos. Para obtener más información sobre Log360, visite </w:t>
      </w:r>
      <w:hyperlink r:id="rId17" w:history="1">
        <w:r w:rsidRPr="0007185D">
          <w:rPr>
            <w:rStyle w:val="Hipervnculo"/>
            <w:rFonts w:ascii="Calibri" w:eastAsia="Calibri" w:hAnsi="Calibri" w:cs="Calibri"/>
            <w:sz w:val="20"/>
            <w:lang w:val="es-ES"/>
          </w:rPr>
          <w:t>manageengine.com/log-management/</w:t>
        </w:r>
      </w:hyperlink>
      <w:r w:rsidRPr="0007185D">
        <w:rPr>
          <w:rFonts w:ascii="Calibri" w:eastAsia="Calibri" w:hAnsi="Calibri" w:cs="Calibri"/>
          <w:color w:val="000000"/>
          <w:sz w:val="20"/>
          <w:lang w:val="es-ES"/>
        </w:rPr>
        <w:t xml:space="preserve"> </w:t>
      </w:r>
      <w:r>
        <w:rPr>
          <w:rFonts w:ascii="Calibri" w:eastAsia="Calibri" w:hAnsi="Calibri" w:cs="Calibri"/>
          <w:color w:val="000000"/>
          <w:sz w:val="20"/>
          <w:lang w:val="es-ES"/>
        </w:rPr>
        <w:t xml:space="preserve">y </w:t>
      </w:r>
      <w:r w:rsidRPr="0007185D">
        <w:rPr>
          <w:rFonts w:ascii="Calibri" w:eastAsia="Calibri" w:hAnsi="Calibri" w:cs="Calibri"/>
          <w:color w:val="000000"/>
          <w:sz w:val="20"/>
          <w:lang w:val="es-ES"/>
        </w:rPr>
        <w:t xml:space="preserve">siga la página de </w:t>
      </w:r>
      <w:hyperlink r:id="rId18" w:history="1">
        <w:r w:rsidRPr="0007185D">
          <w:rPr>
            <w:rStyle w:val="Hipervnculo"/>
            <w:rFonts w:ascii="Calibri" w:eastAsia="Calibri" w:hAnsi="Calibri" w:cs="Calibri"/>
            <w:sz w:val="20"/>
            <w:lang w:val="es-ES"/>
          </w:rPr>
          <w:t>LinkedIn</w:t>
        </w:r>
      </w:hyperlink>
      <w:r w:rsidRPr="0007185D">
        <w:rPr>
          <w:rFonts w:ascii="Calibri" w:eastAsia="Calibri" w:hAnsi="Calibri" w:cs="Calibri"/>
          <w:color w:val="000000"/>
          <w:sz w:val="20"/>
          <w:lang w:val="es-ES"/>
        </w:rPr>
        <w:t xml:space="preserve"> para obtener actualizaciones periódicas.</w:t>
      </w:r>
    </w:p>
    <w:p w14:paraId="79365F37" w14:textId="1DBB999D" w:rsidR="004471D8" w:rsidRPr="00CD7800" w:rsidRDefault="006F3413" w:rsidP="0007185D">
      <w:pPr>
        <w:pStyle w:val="Normal1"/>
        <w:jc w:val="both"/>
        <w:rPr>
          <w:rFonts w:ascii="Calibri" w:eastAsia="Calibri" w:hAnsi="Calibri" w:cs="Calibri"/>
          <w:b/>
          <w:color w:val="000000"/>
          <w:lang w:val="es-ES"/>
        </w:rPr>
      </w:pPr>
      <w:r w:rsidRPr="00CD7800">
        <w:rPr>
          <w:rFonts w:ascii="Calibri" w:eastAsia="Calibri" w:hAnsi="Calibri" w:cs="Calibri"/>
          <w:b/>
          <w:color w:val="000000"/>
          <w:lang w:val="es-ES"/>
        </w:rPr>
        <w:t>Acerca de ManageEngine</w:t>
      </w:r>
    </w:p>
    <w:p w14:paraId="35EFA6BC" w14:textId="77777777" w:rsidR="004471D8" w:rsidRPr="00CD7800" w:rsidRDefault="006F3413">
      <w:pPr>
        <w:pStyle w:val="Normal1"/>
        <w:spacing w:line="276" w:lineRule="auto"/>
        <w:jc w:val="both"/>
        <w:rPr>
          <w:rFonts w:ascii="Calibri" w:eastAsia="Calibri" w:hAnsi="Calibri" w:cs="Calibri"/>
          <w:b/>
          <w:color w:val="000000"/>
          <w:lang w:val="es-ES"/>
        </w:rPr>
      </w:pPr>
      <w:r w:rsidRPr="00CD7800">
        <w:rPr>
          <w:rFonts w:ascii="Calibri" w:eastAsia="Calibri" w:hAnsi="Calibri" w:cs="Calibri"/>
          <w:color w:val="000000"/>
          <w:sz w:val="20"/>
          <w:lang w:val="es-ES"/>
        </w:rPr>
        <w:t xml:space="preserve">ManageEngine, una división de Zoho Corporation, es un proveedor líder de soluciones de gestión de TI para organizaciones de todo el mundo. Su plataforma potente, flexible e impulsada por IA ayuda a las empresas a operar de manera eficiente, ya sea administrando TI internamente o brindando servicios como proveedor de servicios administrados. Para obtener más información, visite </w:t>
      </w:r>
      <w:hyperlink r:id="rId19" w:history="1">
        <w:r w:rsidR="004471D8" w:rsidRPr="00CD7800">
          <w:rPr>
            <w:rFonts w:ascii="Calibri" w:eastAsia="Calibri" w:hAnsi="Calibri" w:cs="Calibri"/>
            <w:color w:val="CC9900"/>
            <w:sz w:val="20"/>
            <w:u w:val="single" w:color="0000FF"/>
            <w:lang w:val="es-ES"/>
          </w:rPr>
          <w:t>www.manageengine.com</w:t>
        </w:r>
      </w:hyperlink>
      <w:r w:rsidRPr="00CD7800">
        <w:rPr>
          <w:rFonts w:ascii="Calibri" w:eastAsia="Calibri" w:hAnsi="Calibri" w:cs="Calibri"/>
          <w:color w:val="000000"/>
          <w:sz w:val="20"/>
          <w:lang w:val="es-ES"/>
        </w:rPr>
        <w:t xml:space="preserve"> </w:t>
      </w:r>
    </w:p>
    <w:p w14:paraId="45DC478C" w14:textId="77777777" w:rsidR="004471D8" w:rsidRPr="00CD7800" w:rsidRDefault="006F3413">
      <w:pPr>
        <w:pStyle w:val="Normal1"/>
        <w:spacing w:line="276" w:lineRule="auto"/>
        <w:jc w:val="both"/>
        <w:rPr>
          <w:rFonts w:ascii="Calibri" w:eastAsia="Calibri" w:hAnsi="Calibri" w:cs="Calibri"/>
          <w:b/>
          <w:color w:val="000000"/>
          <w:lang w:val="es-ES"/>
        </w:rPr>
      </w:pPr>
      <w:r w:rsidRPr="00CD7800">
        <w:rPr>
          <w:rFonts w:ascii="Calibri" w:eastAsia="Calibri" w:hAnsi="Calibri" w:cs="Calibri"/>
          <w:b/>
          <w:color w:val="000000"/>
          <w:lang w:val="es-ES"/>
        </w:rPr>
        <w:t>Contacto para la prensa:</w:t>
      </w:r>
    </w:p>
    <w:p w14:paraId="2EB1AA1D" w14:textId="77777777" w:rsidR="004471D8" w:rsidRPr="00CD7800" w:rsidRDefault="006F3413">
      <w:pPr>
        <w:pStyle w:val="Normal1"/>
        <w:spacing w:line="276" w:lineRule="auto"/>
        <w:jc w:val="both"/>
        <w:rPr>
          <w:rFonts w:ascii="Calibri" w:eastAsia="Calibri" w:hAnsi="Calibri" w:cs="Calibri"/>
          <w:color w:val="000000"/>
          <w:lang w:val="es-ES"/>
        </w:rPr>
      </w:pPr>
      <w:r w:rsidRPr="00CD7800">
        <w:rPr>
          <w:rFonts w:ascii="Calibri" w:eastAsia="Calibri" w:hAnsi="Calibri" w:cs="Calibri"/>
          <w:color w:val="000000"/>
          <w:lang w:val="es-ES"/>
        </w:rPr>
        <w:t>Juan del Castillo</w:t>
      </w:r>
    </w:p>
    <w:p w14:paraId="06765C41" w14:textId="77777777" w:rsidR="00DF05C6" w:rsidRDefault="004471D8" w:rsidP="008E7286">
      <w:pPr>
        <w:pStyle w:val="Normal1"/>
        <w:spacing w:line="276" w:lineRule="auto"/>
        <w:jc w:val="both"/>
        <w:rPr>
          <w:rFonts w:ascii="Calibri" w:eastAsia="Calibri" w:hAnsi="Calibri" w:cs="Calibri"/>
          <w:color w:val="000000"/>
          <w:lang w:val="es-ES"/>
        </w:rPr>
      </w:pPr>
      <w:hyperlink r:id="rId20" w:history="1">
        <w:r w:rsidRPr="00DF05C6">
          <w:rPr>
            <w:rFonts w:ascii="Calibri" w:eastAsia="Calibri" w:hAnsi="Calibri" w:cs="Calibri"/>
            <w:color w:val="CC9900"/>
            <w:u w:val="single" w:color="0000FF"/>
            <w:lang w:val="es-ES"/>
          </w:rPr>
          <w:t>juan@121pr.com</w:t>
        </w:r>
      </w:hyperlink>
      <w:r w:rsidRPr="00DF05C6">
        <w:rPr>
          <w:rFonts w:ascii="Calibri" w:eastAsia="Calibri" w:hAnsi="Calibri" w:cs="Calibri"/>
          <w:color w:val="000000"/>
          <w:lang w:val="es-ES"/>
        </w:rPr>
        <w:t xml:space="preserve"> </w:t>
      </w:r>
    </w:p>
    <w:p w14:paraId="11AEB56A" w14:textId="2C8F09C4" w:rsidR="008E7286" w:rsidRPr="00DF05C6" w:rsidRDefault="004471D8" w:rsidP="008E7286">
      <w:pPr>
        <w:pStyle w:val="Normal1"/>
        <w:spacing w:line="276" w:lineRule="auto"/>
        <w:jc w:val="both"/>
        <w:rPr>
          <w:rFonts w:ascii="Calibri" w:eastAsia="Calibri" w:hAnsi="Calibri" w:cs="Calibri"/>
          <w:color w:val="000000"/>
          <w:lang w:val="es-ES"/>
        </w:rPr>
      </w:pPr>
      <w:r w:rsidRPr="00DF05C6">
        <w:rPr>
          <w:rFonts w:ascii="Calibri" w:eastAsia="Calibri" w:hAnsi="Calibri" w:cs="Calibri"/>
          <w:color w:val="000000"/>
          <w:lang w:val="es-ES"/>
        </w:rPr>
        <w:t>Telf: 647 583 355</w:t>
      </w:r>
    </w:p>
    <w:sectPr w:rsidR="008E7286" w:rsidRPr="00DF05C6">
      <w:headerReference w:type="default" r:id="rId21"/>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6BB20" w14:textId="77777777" w:rsidR="00E310BC" w:rsidRDefault="00E310BC">
      <w:pPr>
        <w:spacing w:after="0" w:line="240" w:lineRule="auto"/>
      </w:pPr>
      <w:r>
        <w:separator/>
      </w:r>
    </w:p>
  </w:endnote>
  <w:endnote w:type="continuationSeparator" w:id="0">
    <w:p w14:paraId="468924A0" w14:textId="77777777" w:rsidR="00E310BC" w:rsidRDefault="00E31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embedRegular r:id="rId1" w:fontKey="{D7A7BD01-BB0E-46BD-A00C-2E14A9CC0367}"/>
    <w:embedBold r:id="rId2" w:fontKey="{B75ED9C7-51E8-473F-84DC-C97C38ED2CBF}"/>
    <w:embedItalic r:id="rId3" w:fontKey="{A18EA5A7-5B94-440F-A1A2-D5BD5F2A1C12}"/>
    <w:embedBoldItalic r:id="rId4" w:fontKey="{03E180BF-436E-43E4-A8EE-A918145C33C8}"/>
  </w:font>
  <w:font w:name="Calibri">
    <w:panose1 w:val="020F0502020204030204"/>
    <w:charset w:val="00"/>
    <w:family w:val="swiss"/>
    <w:pitch w:val="variable"/>
    <w:sig w:usb0="E4002EFF" w:usb1="C200247B" w:usb2="00000009" w:usb3="00000000" w:csb0="000001FF" w:csb1="00000000"/>
    <w:embedRegular r:id="rId5" w:fontKey="{81C1FDCF-74B8-4784-AF9C-2FE0592A747E}"/>
    <w:embedBold r:id="rId6" w:fontKey="{CBC7D25B-FF6C-4647-9A59-D5D3DDB5511F}"/>
    <w:embedItalic r:id="rId7" w:fontKey="{C6BA704F-A403-460F-8827-2B090CB16ABE}"/>
  </w:font>
  <w:font w:name="Arimo Regular">
    <w:charset w:val="00"/>
    <w:family w:val="auto"/>
    <w:pitch w:val="default"/>
    <w:embedRegular r:id="rId8" w:fontKey="{CC633DCB-B27D-4936-A4EB-5A9F0502FF74}"/>
    <w:embedBold r:id="rId9" w:fontKey="{3D8D6156-13C5-4D52-A0B0-43D92AFC1287}"/>
    <w:embedItalic r:id="rId10" w:fontKey="{5577E093-2C29-45E3-B016-2E2A4D68D3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1131" w14:textId="77777777" w:rsidR="004471D8" w:rsidRDefault="004471D8">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D76F7" w14:textId="77777777" w:rsidR="00E310BC" w:rsidRDefault="00E310BC">
      <w:pPr>
        <w:spacing w:after="0" w:line="240" w:lineRule="auto"/>
      </w:pPr>
      <w:r>
        <w:separator/>
      </w:r>
    </w:p>
  </w:footnote>
  <w:footnote w:type="continuationSeparator" w:id="0">
    <w:p w14:paraId="50BE1E17" w14:textId="77777777" w:rsidR="00E310BC" w:rsidRDefault="00E31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F0BB" w14:textId="77777777" w:rsidR="004471D8" w:rsidRDefault="004471D8">
    <w:pPr>
      <w:pStyle w:val="h68761336"/>
    </w:pPr>
  </w:p>
  <w:p w14:paraId="68C5FBD7" w14:textId="77777777" w:rsidR="004471D8" w:rsidRDefault="006F3413">
    <w:pPr>
      <w:pStyle w:val="h68761336"/>
    </w:pPr>
    <w:r>
      <w:rPr>
        <w:noProof/>
        <w:lang w:val="es-ES" w:eastAsia="es-ES"/>
      </w:rPr>
      <w:drawing>
        <wp:anchor distT="0" distB="0" distL="114300" distR="114300" simplePos="0" relativeHeight="251658240" behindDoc="1" locked="0" layoutInCell="1" allowOverlap="1" wp14:anchorId="1A0A4EFF" wp14:editId="188549EE">
          <wp:simplePos x="0" y="0"/>
          <wp:positionH relativeFrom="column">
            <wp:posOffset>4427220</wp:posOffset>
          </wp:positionH>
          <wp:positionV relativeFrom="paragraph">
            <wp:posOffset>2857</wp:posOffset>
          </wp:positionV>
          <wp:extent cx="2133600" cy="381000"/>
          <wp:effectExtent l="0" t="0" r="0" b="0"/>
          <wp:wrapNone/>
          <wp:docPr id="434666432" name="Avi"/>
          <wp:cNvGraphicFramePr/>
          <a:graphic xmlns:a="http://schemas.openxmlformats.org/drawingml/2006/main">
            <a:graphicData uri="http://schemas.openxmlformats.org/drawingml/2006/picture">
              <pic:pic xmlns:pic="http://schemas.openxmlformats.org/drawingml/2006/picture">
                <pic:nvPicPr>
                  <pic:cNvPr id="0" name="Avi"/>
                  <pic:cNvPicPr>
                    <a:picLocks noChangeAspect="1"/>
                  </pic:cNvPicPr>
                </pic:nvPicPr>
                <pic:blipFill>
                  <a:blip r:embed="rId1"/>
                  <a:srcRect/>
                  <a:stretch/>
                </pic:blipFill>
                <pic:spPr>
                  <a:xfrm>
                    <a:off x="0" y="0"/>
                    <a:ext cx="2133600" cy="381000"/>
                  </a:xfrm>
                  <a:prstGeom prst="rect">
                    <a:avLst/>
                  </a:prstGeom>
                </pic:spPr>
              </pic:pic>
            </a:graphicData>
          </a:graphic>
        </wp:anchor>
      </w:drawing>
    </w:r>
  </w:p>
  <w:p w14:paraId="0E5B5301" w14:textId="77777777" w:rsidR="004471D8" w:rsidRDefault="004471D8">
    <w:pPr>
      <w:pStyle w:val="h68761336"/>
    </w:pPr>
  </w:p>
  <w:p w14:paraId="608C166B" w14:textId="77777777" w:rsidR="004471D8" w:rsidRDefault="004471D8">
    <w:pPr>
      <w:pStyle w:val="h68761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C89"/>
    <w:multiLevelType w:val="multilevel"/>
    <w:tmpl w:val="A9828B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4394016"/>
    <w:multiLevelType w:val="multilevel"/>
    <w:tmpl w:val="AF62DEF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 w15:restartNumberingAfterBreak="0">
    <w:nsid w:val="07DE013F"/>
    <w:multiLevelType w:val="multilevel"/>
    <w:tmpl w:val="EA7C529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D744B74"/>
    <w:multiLevelType w:val="multilevel"/>
    <w:tmpl w:val="C5A01A0A"/>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4" w15:restartNumberingAfterBreak="0">
    <w:nsid w:val="0DC02B33"/>
    <w:multiLevelType w:val="multilevel"/>
    <w:tmpl w:val="E77E724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FC47818"/>
    <w:multiLevelType w:val="multilevel"/>
    <w:tmpl w:val="1FF43C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15C61348"/>
    <w:multiLevelType w:val="multilevel"/>
    <w:tmpl w:val="CD54C36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229269B2"/>
    <w:multiLevelType w:val="multilevel"/>
    <w:tmpl w:val="5B7C0D4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2CA56F1C"/>
    <w:multiLevelType w:val="hybridMultilevel"/>
    <w:tmpl w:val="9764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B56A2E"/>
    <w:multiLevelType w:val="multilevel"/>
    <w:tmpl w:val="754444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37417EF3"/>
    <w:multiLevelType w:val="multilevel"/>
    <w:tmpl w:val="150CB7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37E63D7C"/>
    <w:multiLevelType w:val="multilevel"/>
    <w:tmpl w:val="FD7C3BE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2" w15:restartNumberingAfterBreak="0">
    <w:nsid w:val="3AAC277E"/>
    <w:multiLevelType w:val="multilevel"/>
    <w:tmpl w:val="AC72FC2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3ADC47A6"/>
    <w:multiLevelType w:val="hybridMultilevel"/>
    <w:tmpl w:val="C9CC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96FB6"/>
    <w:multiLevelType w:val="multilevel"/>
    <w:tmpl w:val="F61C38D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3CCA4A09"/>
    <w:multiLevelType w:val="multilevel"/>
    <w:tmpl w:val="0308BF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444439DC"/>
    <w:multiLevelType w:val="multilevel"/>
    <w:tmpl w:val="B84826E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7" w15:restartNumberingAfterBreak="0">
    <w:nsid w:val="4DDE1207"/>
    <w:multiLevelType w:val="multilevel"/>
    <w:tmpl w:val="E984EEE0"/>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8" w15:restartNumberingAfterBreak="0">
    <w:nsid w:val="4DEB6AEC"/>
    <w:multiLevelType w:val="multilevel"/>
    <w:tmpl w:val="44FCD5E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5B96637A"/>
    <w:multiLevelType w:val="multilevel"/>
    <w:tmpl w:val="2C5AF4BA"/>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0" w15:restartNumberingAfterBreak="0">
    <w:nsid w:val="619856AD"/>
    <w:multiLevelType w:val="multilevel"/>
    <w:tmpl w:val="EADA663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666D2154"/>
    <w:multiLevelType w:val="multilevel"/>
    <w:tmpl w:val="7C508DC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15:restartNumberingAfterBreak="0">
    <w:nsid w:val="6BC708CF"/>
    <w:multiLevelType w:val="multilevel"/>
    <w:tmpl w:val="474A3A70"/>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3" w15:restartNumberingAfterBreak="0">
    <w:nsid w:val="71D25F0F"/>
    <w:multiLevelType w:val="multilevel"/>
    <w:tmpl w:val="38905C2A"/>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4" w15:restartNumberingAfterBreak="0">
    <w:nsid w:val="72445AFE"/>
    <w:multiLevelType w:val="multilevel"/>
    <w:tmpl w:val="FC2E0E7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15:restartNumberingAfterBreak="0">
    <w:nsid w:val="73013278"/>
    <w:multiLevelType w:val="multilevel"/>
    <w:tmpl w:val="C89CA3DE"/>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6" w15:restartNumberingAfterBreak="0">
    <w:nsid w:val="76F272FA"/>
    <w:multiLevelType w:val="multilevel"/>
    <w:tmpl w:val="4AAABAF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7" w15:restartNumberingAfterBreak="0">
    <w:nsid w:val="7C4959F4"/>
    <w:multiLevelType w:val="multilevel"/>
    <w:tmpl w:val="712284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16cid:durableId="941651124">
    <w:abstractNumId w:val="17"/>
  </w:num>
  <w:num w:numId="2" w16cid:durableId="1094788471">
    <w:abstractNumId w:val="21"/>
  </w:num>
  <w:num w:numId="3" w16cid:durableId="1306012643">
    <w:abstractNumId w:val="20"/>
  </w:num>
  <w:num w:numId="4" w16cid:durableId="1647053655">
    <w:abstractNumId w:val="4"/>
  </w:num>
  <w:num w:numId="5" w16cid:durableId="140118138">
    <w:abstractNumId w:val="18"/>
  </w:num>
  <w:num w:numId="6" w16cid:durableId="1467965374">
    <w:abstractNumId w:val="10"/>
  </w:num>
  <w:num w:numId="7" w16cid:durableId="1007252964">
    <w:abstractNumId w:val="19"/>
  </w:num>
  <w:num w:numId="8" w16cid:durableId="69546504">
    <w:abstractNumId w:val="22"/>
  </w:num>
  <w:num w:numId="9" w16cid:durableId="551581717">
    <w:abstractNumId w:val="25"/>
  </w:num>
  <w:num w:numId="10" w16cid:durableId="342172860">
    <w:abstractNumId w:val="0"/>
  </w:num>
  <w:num w:numId="11" w16cid:durableId="1989819934">
    <w:abstractNumId w:val="23"/>
  </w:num>
  <w:num w:numId="12" w16cid:durableId="22943923">
    <w:abstractNumId w:val="3"/>
  </w:num>
  <w:num w:numId="13" w16cid:durableId="1909532819">
    <w:abstractNumId w:val="2"/>
  </w:num>
  <w:num w:numId="14" w16cid:durableId="49571850">
    <w:abstractNumId w:val="24"/>
  </w:num>
  <w:num w:numId="15" w16cid:durableId="546769062">
    <w:abstractNumId w:val="5"/>
  </w:num>
  <w:num w:numId="16" w16cid:durableId="794099972">
    <w:abstractNumId w:val="14"/>
  </w:num>
  <w:num w:numId="17" w16cid:durableId="1215503541">
    <w:abstractNumId w:val="9"/>
  </w:num>
  <w:num w:numId="18" w16cid:durableId="381754659">
    <w:abstractNumId w:val="12"/>
  </w:num>
  <w:num w:numId="19" w16cid:durableId="1758482268">
    <w:abstractNumId w:val="15"/>
  </w:num>
  <w:num w:numId="20" w16cid:durableId="1420909980">
    <w:abstractNumId w:val="6"/>
  </w:num>
  <w:num w:numId="21" w16cid:durableId="1236159761">
    <w:abstractNumId w:val="26"/>
  </w:num>
  <w:num w:numId="22" w16cid:durableId="1104810072">
    <w:abstractNumId w:val="11"/>
  </w:num>
  <w:num w:numId="23" w16cid:durableId="725488940">
    <w:abstractNumId w:val="1"/>
  </w:num>
  <w:num w:numId="24" w16cid:durableId="1195075182">
    <w:abstractNumId w:val="16"/>
  </w:num>
  <w:num w:numId="25" w16cid:durableId="865677391">
    <w:abstractNumId w:val="7"/>
  </w:num>
  <w:num w:numId="26" w16cid:durableId="1268007834">
    <w:abstractNumId w:val="27"/>
  </w:num>
  <w:num w:numId="27" w16cid:durableId="1912155727">
    <w:abstractNumId w:val="13"/>
  </w:num>
  <w:num w:numId="28" w16cid:durableId="18829393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1D8"/>
    <w:rsid w:val="0007185D"/>
    <w:rsid w:val="000E292F"/>
    <w:rsid w:val="00186F22"/>
    <w:rsid w:val="00435009"/>
    <w:rsid w:val="004471D8"/>
    <w:rsid w:val="005B12F1"/>
    <w:rsid w:val="005C5F32"/>
    <w:rsid w:val="00600475"/>
    <w:rsid w:val="006F3413"/>
    <w:rsid w:val="008E7286"/>
    <w:rsid w:val="00AD0065"/>
    <w:rsid w:val="00AF658C"/>
    <w:rsid w:val="00C263DD"/>
    <w:rsid w:val="00CD7800"/>
    <w:rsid w:val="00D663EB"/>
    <w:rsid w:val="00DF05C6"/>
    <w:rsid w:val="00E310BC"/>
    <w:rsid w:val="00F05923"/>
    <w:rsid w:val="00F227D2"/>
    <w:rsid w:val="00F65F7C"/>
    <w:rsid w:val="00F92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47C52"/>
  <w15:docId w15:val="{D00AA035-4B6B-4118-BA9C-6282BFFC9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000000" w:themeColor="dark1"/>
        <w:sz w:val="24"/>
        <w:lang w:val="en-US"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uiPriority w:val="1"/>
    <w:unhideWhenUsed/>
    <w:qFormat/>
  </w:style>
  <w:style w:type="paragraph" w:customStyle="1" w:styleId="Ttulo11">
    <w:name w:val="Título 11"/>
    <w:basedOn w:val="Normal1"/>
    <w:next w:val="Normal1"/>
    <w:uiPriority w:val="1"/>
    <w:unhideWhenUsed/>
    <w:qFormat/>
    <w:pPr>
      <w:spacing w:after="200" w:line="240" w:lineRule="auto"/>
    </w:pPr>
    <w:rPr>
      <w:b/>
      <w:color w:val="0D0D0D" w:themeColor="dark1" w:themeTint="F2"/>
      <w:sz w:val="48"/>
    </w:rPr>
  </w:style>
  <w:style w:type="paragraph" w:customStyle="1" w:styleId="Ttulo21">
    <w:name w:val="Título 21"/>
    <w:basedOn w:val="Normal1"/>
    <w:next w:val="Normal1"/>
    <w:link w:val="Heading2Char"/>
    <w:uiPriority w:val="1"/>
    <w:unhideWhenUsed/>
    <w:qFormat/>
    <w:pPr>
      <w:spacing w:after="160"/>
    </w:pPr>
    <w:rPr>
      <w:b/>
      <w:sz w:val="36"/>
    </w:rPr>
  </w:style>
  <w:style w:type="paragraph" w:customStyle="1" w:styleId="h56147253">
    <w:name w:val="h56147253"/>
    <w:uiPriority w:val="1"/>
    <w:unhideWhenUsed/>
    <w:qFormat/>
    <w:pPr>
      <w:spacing w:after="0" w:line="240" w:lineRule="auto"/>
    </w:pPr>
  </w:style>
  <w:style w:type="paragraph" w:customStyle="1" w:styleId="Ttulo31">
    <w:name w:val="Título 31"/>
    <w:basedOn w:val="Normal1"/>
    <w:next w:val="Normal1"/>
    <w:link w:val="Heading3Char"/>
    <w:uiPriority w:val="1"/>
    <w:unhideWhenUsed/>
    <w:qFormat/>
    <w:pPr>
      <w:spacing w:after="160"/>
    </w:pPr>
    <w:rPr>
      <w:b/>
      <w:sz w:val="32"/>
    </w:rPr>
  </w:style>
  <w:style w:type="paragraph" w:customStyle="1" w:styleId="Ttulo41">
    <w:name w:val="Título 41"/>
    <w:basedOn w:val="Normal1"/>
    <w:next w:val="Normal1"/>
    <w:link w:val="Heading4Char"/>
    <w:uiPriority w:val="1"/>
    <w:unhideWhenUsed/>
    <w:qFormat/>
    <w:pPr>
      <w:spacing w:after="160"/>
    </w:pPr>
    <w:rPr>
      <w:b/>
      <w:i/>
      <w:sz w:val="28"/>
    </w:rPr>
  </w:style>
  <w:style w:type="paragraph" w:customStyle="1" w:styleId="Ttulo51">
    <w:name w:val="Título 51"/>
    <w:basedOn w:val="Normal1"/>
    <w:next w:val="Normal1"/>
    <w:link w:val="Heading5Char"/>
    <w:uiPriority w:val="1"/>
    <w:unhideWhenUsed/>
    <w:qFormat/>
    <w:pPr>
      <w:pBdr>
        <w:top w:val="none" w:sz="0" w:space="0" w:color="000000"/>
        <w:left w:val="none" w:sz="0" w:space="0" w:color="000000"/>
        <w:bottom w:val="none" w:sz="0" w:space="0" w:color="000000"/>
        <w:right w:val="none" w:sz="0" w:space="0" w:color="000000"/>
      </w:pBdr>
      <w:shd w:val="clear" w:color="auto" w:fill="404040"/>
      <w:spacing w:after="160" w:line="312" w:lineRule="auto"/>
    </w:pPr>
    <w:rPr>
      <w:color w:val="FFFFFF" w:themeColor="light1"/>
    </w:rPr>
  </w:style>
  <w:style w:type="paragraph" w:customStyle="1" w:styleId="Ttulo61">
    <w:name w:val="Título 61"/>
    <w:basedOn w:val="Normal1"/>
    <w:next w:val="Normal1"/>
    <w:link w:val="Heading6Char"/>
    <w:uiPriority w:val="1"/>
    <w:unhideWhenUsed/>
    <w:qFormat/>
    <w:pPr>
      <w:spacing w:after="120"/>
    </w:pPr>
    <w:rPr>
      <w:i/>
      <w:sz w:val="22"/>
      <w:u w:val="single"/>
    </w:rPr>
  </w:style>
  <w:style w:type="paragraph" w:customStyle="1" w:styleId="Ttulo71">
    <w:name w:val="Título 71"/>
    <w:basedOn w:val="Normal1"/>
    <w:next w:val="Normal1"/>
    <w:link w:val="Heading7Char"/>
    <w:uiPriority w:val="1"/>
    <w:unhideWhenUsed/>
    <w:qFormat/>
    <w:pPr>
      <w:spacing w:before="40"/>
    </w:pPr>
    <w:rPr>
      <w:i/>
      <w:color w:val="13397E" w:themeColor="accent1" w:themeShade="7F"/>
      <w:sz w:val="20"/>
    </w:rPr>
  </w:style>
  <w:style w:type="paragraph" w:customStyle="1" w:styleId="Ttulo81">
    <w:name w:val="Título 81"/>
    <w:basedOn w:val="Normal1"/>
    <w:next w:val="Normal1"/>
    <w:link w:val="Heading8Char"/>
    <w:uiPriority w:val="1"/>
    <w:unhideWhenUsed/>
    <w:qFormat/>
    <w:pPr>
      <w:spacing w:before="40"/>
    </w:pPr>
    <w:rPr>
      <w:b/>
      <w:color w:val="26543D" w:themeColor="dark2"/>
      <w:sz w:val="20"/>
    </w:rPr>
  </w:style>
  <w:style w:type="paragraph" w:customStyle="1" w:styleId="Ttulo91">
    <w:name w:val="Título 91"/>
    <w:basedOn w:val="Normal1"/>
    <w:next w:val="Normal1"/>
    <w:link w:val="Heading9Char"/>
    <w:uiPriority w:val="1"/>
    <w:unhideWhenUsed/>
    <w:qFormat/>
    <w:pPr>
      <w:spacing w:before="40"/>
    </w:pPr>
    <w:rPr>
      <w:b/>
      <w:i/>
      <w:color w:val="26543D" w:themeColor="dark2"/>
      <w:sz w:val="20"/>
    </w:rPr>
  </w:style>
  <w:style w:type="paragraph" w:customStyle="1" w:styleId="h68611436">
    <w:name w:val="h68611436"/>
    <w:basedOn w:val="Normal1"/>
    <w:uiPriority w:val="1"/>
    <w:unhideWhenUsed/>
    <w:qFormat/>
    <w:pPr>
      <w:tabs>
        <w:tab w:val="center" w:pos="4252"/>
        <w:tab w:val="right" w:pos="8504"/>
      </w:tabs>
      <w:spacing w:after="0" w:line="240" w:lineRule="auto"/>
    </w:pPr>
  </w:style>
  <w:style w:type="paragraph" w:customStyle="1" w:styleId="h27732871">
    <w:name w:val="h27732871"/>
    <w:basedOn w:val="Normal1"/>
    <w:uiPriority w:val="1"/>
    <w:unhideWhenUsed/>
    <w:qFormat/>
    <w:pPr>
      <w:spacing w:before="100" w:after="100" w:line="240" w:lineRule="auto"/>
    </w:pPr>
    <w:rPr>
      <w:rFonts w:ascii="Times New Roman" w:eastAsia="Times New Roman" w:hAnsi="Times New Roman" w:cs="Times New Roman"/>
      <w:color w:val="000000"/>
    </w:rPr>
  </w:style>
  <w:style w:type="paragraph" w:customStyle="1" w:styleId="Ttulo1">
    <w:name w:val="Título1"/>
    <w:basedOn w:val="Normal1"/>
    <w:next w:val="Normal1"/>
    <w:link w:val="TitleChar"/>
    <w:uiPriority w:val="1"/>
    <w:unhideWhenUsed/>
    <w:qFormat/>
    <w:pPr>
      <w:spacing w:after="360" w:line="240" w:lineRule="auto"/>
    </w:pPr>
    <w:rPr>
      <w:b/>
      <w:color w:val="1D57BE" w:themeColor="accent1" w:themeShade="BF"/>
      <w:sz w:val="72"/>
    </w:rPr>
  </w:style>
  <w:style w:type="paragraph" w:customStyle="1" w:styleId="h68761336">
    <w:name w:val="h68761336"/>
    <w:basedOn w:val="Normal1"/>
    <w:uiPriority w:val="1"/>
    <w:unhideWhenUsed/>
    <w:qFormat/>
    <w:pPr>
      <w:tabs>
        <w:tab w:val="center" w:pos="4252"/>
        <w:tab w:val="right" w:pos="8504"/>
      </w:tabs>
      <w:spacing w:after="0" w:line="240" w:lineRule="auto"/>
    </w:pPr>
  </w:style>
  <w:style w:type="paragraph" w:customStyle="1" w:styleId="Subttulo1">
    <w:name w:val="Subtítulo1"/>
    <w:basedOn w:val="Normal1"/>
    <w:next w:val="Normal1"/>
    <w:link w:val="SubtitleChar"/>
    <w:uiPriority w:val="1"/>
    <w:unhideWhenUsed/>
    <w:qFormat/>
    <w:pPr>
      <w:spacing w:before="240" w:after="480" w:line="240" w:lineRule="auto"/>
    </w:pPr>
    <w:rPr>
      <w:b/>
      <w:i/>
      <w:color w:val="404040"/>
    </w:rPr>
  </w:style>
  <w:style w:type="paragraph" w:customStyle="1" w:styleId="h71382697">
    <w:name w:val="h71382697"/>
    <w:basedOn w:val="Normal1"/>
    <w:uiPriority w:val="1"/>
    <w:unhideWhenUsed/>
    <w:qFormat/>
    <w:pPr>
      <w:spacing w:before="100" w:after="100" w:line="240" w:lineRule="auto"/>
    </w:pPr>
    <w:rPr>
      <w:rFonts w:ascii="Times New Roman" w:eastAsia="Times New Roman" w:hAnsi="Times New Roman" w:cs="Times New Roman"/>
      <w:color w:val="000000"/>
    </w:rPr>
  </w:style>
  <w:style w:type="paragraph" w:customStyle="1" w:styleId="Cita1">
    <w:name w:val="Cita1"/>
    <w:basedOn w:val="Normal1"/>
    <w:next w:val="Normal1"/>
    <w:uiPriority w:val="1"/>
    <w:unhideWhenUsed/>
    <w:qFormat/>
    <w:pPr>
      <w:pBdr>
        <w:top w:val="none" w:sz="0" w:space="0" w:color="000000"/>
        <w:left w:val="single" w:sz="24" w:space="7" w:color="1D57BE" w:themeColor="accent1" w:themeShade="BF"/>
        <w:bottom w:val="none" w:sz="0" w:space="0" w:color="000000"/>
      </w:pBdr>
      <w:shd w:val="clear" w:color="auto" w:fill="D9E4F9"/>
      <w:spacing w:after="360" w:line="312" w:lineRule="auto"/>
    </w:pPr>
  </w:style>
  <w:style w:type="paragraph" w:customStyle="1" w:styleId="Citadestacada1">
    <w:name w:val="Cita destacada1"/>
    <w:basedOn w:val="Normal1"/>
    <w:next w:val="Normal1"/>
    <w:uiPriority w:val="1"/>
    <w:unhideWhenUsed/>
    <w:qFormat/>
    <w:pPr>
      <w:pBdr>
        <w:left w:val="single" w:sz="24" w:space="0" w:color="447DE2" w:themeColor="accent1"/>
      </w:pBdr>
      <w:spacing w:before="100" w:line="300" w:lineRule="auto"/>
      <w:ind w:left="1224" w:right="1224"/>
    </w:pPr>
    <w:rPr>
      <w:color w:val="447DE2" w:themeColor="accent1"/>
      <w:sz w:val="28"/>
    </w:rPr>
  </w:style>
  <w:style w:type="paragraph" w:customStyle="1" w:styleId="Prrafodelista1">
    <w:name w:val="Párrafo de lista1"/>
    <w:basedOn w:val="Normal1"/>
    <w:next w:val="Normal1"/>
    <w:uiPriority w:val="1"/>
    <w:unhideWhenUsed/>
    <w:qFormat/>
    <w:rPr>
      <w:i/>
      <w:color w:val="447DE2" w:themeColor="accent1"/>
      <w:sz w:val="22"/>
    </w:rPr>
  </w:style>
  <w:style w:type="paragraph" w:customStyle="1" w:styleId="Sinespaciado1">
    <w:name w:val="Sin espaciado1"/>
    <w:basedOn w:val="Normal1"/>
    <w:next w:val="Normal1"/>
    <w:uiPriority w:val="1"/>
    <w:unhideWhenUsed/>
    <w:qFormat/>
    <w:pPr>
      <w:spacing w:line="240" w:lineRule="auto"/>
    </w:pPr>
  </w:style>
  <w:style w:type="character" w:customStyle="1" w:styleId="Heading4Char">
    <w:name w:val="Heading 4 Char"/>
    <w:basedOn w:val="Fuentedeprrafopredeter1"/>
    <w:link w:val="Ttulo41"/>
    <w:unhideWhenUsed/>
    <w:qFormat/>
    <w:rPr>
      <w:rFonts w:ascii="Roboto" w:eastAsia="Roboto" w:hAnsi="Roboto" w:cs="Roboto"/>
      <w:b/>
      <w:i/>
      <w:color w:val="000000" w:themeColor="dark1"/>
      <w:sz w:val="28"/>
    </w:rPr>
  </w:style>
  <w:style w:type="character" w:customStyle="1" w:styleId="23">
    <w:name w:val="23"/>
    <w:basedOn w:val="Fuentedeprrafopredeter1"/>
    <w:unhideWhenUsed/>
    <w:qFormat/>
    <w:rPr>
      <w:color w:val="666666"/>
    </w:rPr>
  </w:style>
  <w:style w:type="character" w:customStyle="1" w:styleId="Heading9Char">
    <w:name w:val="Heading9Char"/>
    <w:basedOn w:val="Fuentedeprrafopredeter1"/>
    <w:link w:val="Ttulo91"/>
    <w:unhideWhenUsed/>
    <w:qFormat/>
    <w:rPr>
      <w:rFonts w:ascii="Roboto" w:eastAsia="Roboto" w:hAnsi="Roboto" w:cs="Roboto"/>
      <w:b/>
      <w:i/>
      <w:color w:val="26543D" w:themeColor="dark2"/>
      <w:sz w:val="20"/>
    </w:rPr>
  </w:style>
  <w:style w:type="character" w:customStyle="1" w:styleId="24">
    <w:name w:val="24"/>
    <w:basedOn w:val="Fuentedeprrafopredeter1"/>
    <w:unhideWhenUsed/>
    <w:qFormat/>
    <w:rPr>
      <w:color w:val="CC9900"/>
      <w:u w:val="single"/>
    </w:rPr>
  </w:style>
  <w:style w:type="character" w:customStyle="1" w:styleId="Fuentedeprrafopredeter1">
    <w:name w:val="Fuente de párrafo predeter.1"/>
    <w:unhideWhenUsed/>
    <w:qFormat/>
  </w:style>
  <w:style w:type="character" w:customStyle="1" w:styleId="25">
    <w:name w:val="25"/>
    <w:basedOn w:val="Fuentedeprrafopredeter1"/>
    <w:unhideWhenUsed/>
    <w:qFormat/>
    <w:rPr>
      <w:color w:val="605E5C"/>
      <w:shd w:val="clear" w:color="auto" w:fill="E1DFDD"/>
    </w:rPr>
  </w:style>
  <w:style w:type="character" w:customStyle="1" w:styleId="15">
    <w:name w:val="15"/>
    <w:basedOn w:val="Fuentedeprrafopredeter1"/>
    <w:unhideWhenUsed/>
    <w:qFormat/>
  </w:style>
  <w:style w:type="character" w:customStyle="1" w:styleId="16">
    <w:name w:val="16"/>
    <w:basedOn w:val="Fuentedeprrafopredeter1"/>
    <w:unhideWhenUsed/>
    <w:qFormat/>
  </w:style>
  <w:style w:type="character" w:customStyle="1" w:styleId="SubtitleChar">
    <w:name w:val="Subtitle Char"/>
    <w:basedOn w:val="Fuentedeprrafopredeter1"/>
    <w:link w:val="Subttulo1"/>
    <w:unhideWhenUsed/>
    <w:qFormat/>
    <w:rPr>
      <w:rFonts w:ascii="Roboto" w:eastAsia="Roboto" w:hAnsi="Roboto" w:cs="Roboto"/>
      <w:b/>
      <w:i/>
      <w:color w:val="404040"/>
      <w:sz w:val="24"/>
    </w:rPr>
  </w:style>
  <w:style w:type="character" w:customStyle="1" w:styleId="Heading2Char">
    <w:name w:val="Heading 2 Char"/>
    <w:basedOn w:val="Fuentedeprrafopredeter1"/>
    <w:link w:val="Ttulo21"/>
    <w:unhideWhenUsed/>
    <w:qFormat/>
    <w:rPr>
      <w:rFonts w:ascii="Roboto" w:eastAsia="Roboto" w:hAnsi="Roboto" w:cs="Roboto"/>
      <w:b/>
      <w:color w:val="000000" w:themeColor="dark1"/>
      <w:sz w:val="36"/>
    </w:rPr>
  </w:style>
  <w:style w:type="character" w:customStyle="1" w:styleId="Heading8Char">
    <w:name w:val="Heading 8 Char"/>
    <w:basedOn w:val="Fuentedeprrafopredeter1"/>
    <w:link w:val="Ttulo81"/>
    <w:unhideWhenUsed/>
    <w:qFormat/>
    <w:rPr>
      <w:rFonts w:ascii="Roboto" w:eastAsia="Roboto" w:hAnsi="Roboto" w:cs="Roboto"/>
      <w:b/>
      <w:color w:val="26543D" w:themeColor="dark2"/>
      <w:sz w:val="20"/>
    </w:rPr>
  </w:style>
  <w:style w:type="character" w:customStyle="1" w:styleId="Heading6Char">
    <w:name w:val="Heading 6 Char"/>
    <w:basedOn w:val="Fuentedeprrafopredeter1"/>
    <w:link w:val="Ttulo61"/>
    <w:unhideWhenUsed/>
    <w:qFormat/>
    <w:rPr>
      <w:rFonts w:ascii="Roboto" w:eastAsia="Roboto" w:hAnsi="Roboto" w:cs="Roboto"/>
      <w:i/>
      <w:color w:val="000000" w:themeColor="dark1"/>
      <w:sz w:val="22"/>
      <w:u w:val="single"/>
    </w:rPr>
  </w:style>
  <w:style w:type="character" w:customStyle="1" w:styleId="nfasissutil1">
    <w:name w:val="Énfasis sutil1"/>
    <w:basedOn w:val="Fuentedeprrafopredeter1"/>
    <w:unhideWhenUsed/>
    <w:qFormat/>
    <w:rPr>
      <w:rFonts w:ascii="Roboto" w:eastAsia="Roboto" w:hAnsi="Roboto" w:cs="Roboto"/>
      <w:i/>
      <w:color w:val="C0C0C0" w:themeColor="dark1" w:themeTint="3F"/>
      <w:sz w:val="24"/>
    </w:rPr>
  </w:style>
  <w:style w:type="character" w:customStyle="1" w:styleId="nfasis1">
    <w:name w:val="Énfasis1"/>
    <w:basedOn w:val="Fuentedeprrafopredeter1"/>
    <w:unhideWhenUsed/>
    <w:qFormat/>
    <w:rPr>
      <w:rFonts w:ascii="Roboto" w:eastAsia="Roboto" w:hAnsi="Roboto" w:cs="Roboto"/>
      <w:i/>
      <w:sz w:val="24"/>
    </w:rPr>
  </w:style>
  <w:style w:type="character" w:customStyle="1" w:styleId="nfasisintenso1">
    <w:name w:val="Énfasis intenso1"/>
    <w:basedOn w:val="Fuentedeprrafopredeter1"/>
    <w:unhideWhenUsed/>
    <w:qFormat/>
    <w:rPr>
      <w:rFonts w:ascii="Roboto" w:eastAsia="Roboto" w:hAnsi="Roboto" w:cs="Roboto"/>
      <w:b/>
      <w:i/>
      <w:sz w:val="24"/>
    </w:rPr>
  </w:style>
  <w:style w:type="character" w:customStyle="1" w:styleId="TitleChar">
    <w:name w:val="Title Char"/>
    <w:basedOn w:val="Fuentedeprrafopredeter1"/>
    <w:link w:val="Ttulo1"/>
    <w:unhideWhenUsed/>
    <w:qFormat/>
    <w:rPr>
      <w:rFonts w:ascii="Roboto" w:eastAsia="Roboto" w:hAnsi="Roboto" w:cs="Roboto"/>
      <w:b/>
      <w:color w:val="1D57BE" w:themeColor="accent1" w:themeShade="BF"/>
      <w:spacing w:val="0"/>
      <w:sz w:val="72"/>
    </w:rPr>
  </w:style>
  <w:style w:type="character" w:customStyle="1" w:styleId="Textoennegrita1">
    <w:name w:val="Texto en negrita1"/>
    <w:basedOn w:val="Fuentedeprrafopredeter1"/>
    <w:unhideWhenUsed/>
    <w:qFormat/>
    <w:rPr>
      <w:rFonts w:ascii="Roboto" w:eastAsia="Roboto" w:hAnsi="Roboto" w:cs="Roboto"/>
      <w:b/>
      <w:sz w:val="24"/>
    </w:rPr>
  </w:style>
  <w:style w:type="character" w:customStyle="1" w:styleId="Referenciasutil1">
    <w:name w:val="Referencia sutil1"/>
    <w:basedOn w:val="Fuentedeprrafopredeter1"/>
    <w:unhideWhenUsed/>
    <w:qFormat/>
    <w:rPr>
      <w:rFonts w:ascii="Roboto" w:eastAsia="Roboto" w:hAnsi="Roboto" w:cs="Roboto"/>
      <w:smallCaps/>
      <w:color w:val="C0C0C0" w:themeColor="dark1" w:themeTint="3F"/>
      <w:sz w:val="24"/>
      <w:u w:val="single"/>
    </w:rPr>
  </w:style>
  <w:style w:type="character" w:customStyle="1" w:styleId="Referenciaintensa1">
    <w:name w:val="Referencia intensa1"/>
    <w:basedOn w:val="Fuentedeprrafopredeter1"/>
    <w:unhideWhenUsed/>
    <w:qFormat/>
    <w:rPr>
      <w:rFonts w:ascii="Roboto" w:eastAsia="Roboto" w:hAnsi="Roboto" w:cs="Roboto"/>
      <w:b/>
      <w:smallCaps/>
      <w:spacing w:val="0"/>
      <w:sz w:val="24"/>
      <w:u w:val="single"/>
    </w:rPr>
  </w:style>
  <w:style w:type="character" w:customStyle="1" w:styleId="Ttulodellibro1">
    <w:name w:val="Título del libro1"/>
    <w:basedOn w:val="Fuentedeprrafopredeter1"/>
    <w:unhideWhenUsed/>
    <w:qFormat/>
    <w:rPr>
      <w:rFonts w:ascii="Roboto" w:eastAsia="Roboto" w:hAnsi="Roboto" w:cs="Roboto"/>
      <w:b/>
      <w:smallCaps/>
      <w:sz w:val="24"/>
    </w:rPr>
  </w:style>
  <w:style w:type="character" w:customStyle="1" w:styleId="Heading7Char">
    <w:name w:val="Heading 7 Char"/>
    <w:basedOn w:val="Fuentedeprrafopredeter1"/>
    <w:link w:val="Ttulo71"/>
    <w:unhideWhenUsed/>
    <w:qFormat/>
    <w:rPr>
      <w:rFonts w:ascii="Roboto" w:eastAsia="Roboto" w:hAnsi="Roboto" w:cs="Roboto"/>
      <w:b/>
      <w:color w:val="0D0D0D" w:themeColor="dark1" w:themeTint="F2"/>
      <w:sz w:val="48"/>
    </w:rPr>
  </w:style>
  <w:style w:type="character" w:customStyle="1" w:styleId="Heading3Char">
    <w:name w:val="Heading 3 Char"/>
    <w:basedOn w:val="Fuentedeprrafopredeter1"/>
    <w:link w:val="Ttulo31"/>
    <w:unhideWhenUsed/>
    <w:qFormat/>
    <w:rPr>
      <w:rFonts w:ascii="Roboto" w:eastAsia="Roboto" w:hAnsi="Roboto" w:cs="Roboto"/>
      <w:b/>
      <w:color w:val="000000" w:themeColor="dark1"/>
      <w:sz w:val="32"/>
    </w:rPr>
  </w:style>
  <w:style w:type="character" w:customStyle="1" w:styleId="Heading5Char">
    <w:name w:val="Heading 5 Char"/>
    <w:basedOn w:val="Fuentedeprrafopredeter1"/>
    <w:link w:val="Ttulo51"/>
    <w:unhideWhenUsed/>
    <w:qFormat/>
    <w:rPr>
      <w:rFonts w:ascii="Roboto" w:eastAsia="Roboto" w:hAnsi="Roboto" w:cs="Roboto"/>
      <w:color w:val="FFFFFF" w:themeColor="light1"/>
      <w:sz w:val="24"/>
    </w:rPr>
  </w:style>
  <w:style w:type="character" w:styleId="Hipervnculo">
    <w:name w:val="Hyperlink"/>
    <w:basedOn w:val="Fuentedeprrafopredeter"/>
    <w:uiPriority w:val="99"/>
    <w:unhideWhenUsed/>
    <w:rsid w:val="0007185D"/>
    <w:rPr>
      <w:color w:val="CC9900" w:themeColor="hyperlink"/>
      <w:u w:val="single"/>
    </w:rPr>
  </w:style>
  <w:style w:type="character" w:customStyle="1" w:styleId="Mencinsinresolver1">
    <w:name w:val="Mención sin resolver1"/>
    <w:basedOn w:val="Fuentedeprrafopredeter"/>
    <w:uiPriority w:val="99"/>
    <w:semiHidden/>
    <w:unhideWhenUsed/>
    <w:rsid w:val="0007185D"/>
    <w:rPr>
      <w:color w:val="605E5C"/>
      <w:shd w:val="clear" w:color="auto" w:fill="E1DFDD"/>
    </w:rPr>
  </w:style>
  <w:style w:type="paragraph" w:styleId="Prrafodelista">
    <w:name w:val="List Paragraph"/>
    <w:basedOn w:val="Normal"/>
    <w:uiPriority w:val="34"/>
    <w:qFormat/>
    <w:rsid w:val="00D663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nge.it/Vi9" TargetMode="External"/><Relationship Id="rId13" Type="http://schemas.openxmlformats.org/officeDocument/2006/relationships/hyperlink" Target="https://www.manageengine.com/log-management/mitre-attack-framework.html?source=SA_PR" TargetMode="External"/><Relationship Id="rId18" Type="http://schemas.openxmlformats.org/officeDocument/2006/relationships/hyperlink" Target="https://www.linkedin.com/showcase/manageenginesie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mnge.it/8gM" TargetMode="External"/><Relationship Id="rId12" Type="http://schemas.openxmlformats.org/officeDocument/2006/relationships/hyperlink" Target="https://www.manageengine.com/log-management/detection-rules.html?source=SA_PR" TargetMode="External"/><Relationship Id="rId17" Type="http://schemas.openxmlformats.org/officeDocument/2006/relationships/hyperlink" Target="http://manageengine.com/log-management" TargetMode="External"/><Relationship Id="rId2" Type="http://schemas.openxmlformats.org/officeDocument/2006/relationships/styles" Target="styles.xml"/><Relationship Id="rId16" Type="http://schemas.openxmlformats.org/officeDocument/2006/relationships/hyperlink" Target="https://manageengine.com/log-management/scalability/scalability-in-log360.html?source=SA_PR" TargetMode="External"/><Relationship Id="rId20" Type="http://schemas.openxmlformats.org/officeDocument/2006/relationships/hyperlink" Target="mailto:juan@121p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ageengine.com/log-management/security-platform.html?source=SA_P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anageengine.com/log-management/behavior-based-attack-detection-ueba.html?source=SA_PR" TargetMode="External"/><Relationship Id="rId23" Type="http://schemas.openxmlformats.org/officeDocument/2006/relationships/fontTable" Target="fontTable.xml"/><Relationship Id="rId10" Type="http://schemas.openxmlformats.org/officeDocument/2006/relationships/hyperlink" Target="https://cloud.google.com/blog/products/identity-security/too-many-threats-too-much-data-new-survey-heres-how-to-fix-that" TargetMode="External"/><Relationship Id="rId19" Type="http://schemas.openxmlformats.org/officeDocument/2006/relationships/hyperlink" Target="http://www.manageengine.com" TargetMode="External"/><Relationship Id="rId4" Type="http://schemas.openxmlformats.org/officeDocument/2006/relationships/webSettings" Target="webSettings.xml"/><Relationship Id="rId9" Type="http://schemas.openxmlformats.org/officeDocument/2006/relationships/hyperlink" Target="https://www.manageengine.com/" TargetMode="External"/><Relationship Id="rId14" Type="http://schemas.openxmlformats.org/officeDocument/2006/relationships/hyperlink" Target="https://www.manageengine.com/log-management/event-correlation-siem.html?source=SA_PR"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fault">
      <a:dk1>
        <a:srgbClr val="000000"/>
      </a:dk1>
      <a:lt1>
        <a:srgbClr val="FFFFFF"/>
      </a:lt1>
      <a:dk2>
        <a:srgbClr val="26543D"/>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hade val="100000"/>
                <a:satMod val="130000"/>
                <a:tint val="100000"/>
              </a:schemeClr>
            </a:gs>
            <a:gs pos="100000">
              <a:schemeClr val="phClr">
                <a:shade val="100000"/>
                <a:satMod val="350000"/>
                <a:tint val="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hade val="99000"/>
                <a:satMod val="350000"/>
                <a:tint val="45000"/>
              </a:schemeClr>
            </a:gs>
            <a:gs pos="100000">
              <a:schemeClr val="phClr">
                <a:shade val="20000"/>
                <a:satMod val="255000"/>
              </a:schemeClr>
            </a:gs>
          </a:gsLst>
          <a:path path="circle">
            <a:fillToRect l="50000" t="-80000" r="50000" b="180000"/>
          </a:path>
        </a:gradFill>
        <a:gradFill rotWithShape="1">
          <a:gsLst>
            <a:gs pos="0">
              <a:schemeClr val="phClr">
                <a:satMod val="300000"/>
                <a:tint val="8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1264</Words>
  <Characters>7209</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Agustina López</dc:creator>
  <cp:lastModifiedBy>Agustina López</cp:lastModifiedBy>
  <cp:revision>4</cp:revision>
  <dcterms:created xsi:type="dcterms:W3CDTF">2025-09-19T09:56:00Z</dcterms:created>
  <dcterms:modified xsi:type="dcterms:W3CDTF">2025-09-25T14:02:00Z</dcterms:modified>
</cp:coreProperties>
</file>