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Customs Support Italia, parte del gruppo Customs Support, operatore europeo nel settore dei servizi doganali e della consulenza, offre un'esperienza di oltre 40 anni a supporto delle aziende impegnate nel commercio internazionale. Customs Support Italia fornisce un’ampia gamma di servizi, combinando competenze specialistiche e strumenti digitali per ottimizzare i processi.</w:t>
      </w:r>
    </w:p>
    <w:p w:rsidR="00000000" w:rsidDel="00000000" w:rsidP="00000000" w:rsidRDefault="00000000" w:rsidRPr="00000000" w14:paraId="00000002">
      <w:pPr>
        <w:spacing w:after="60" w:line="240" w:lineRule="auto"/>
        <w:ind w:left="-425.19685039370086" w:right="7.204724409448886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Gestione completa delle pratiche doganali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Import/Export e transito: gestione delle dichiarazioni doganali,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Gestione delle accise: consulenza e gestione delle accise su prodotti specifici.</w:t>
      </w:r>
    </w:p>
    <w:p w:rsidR="00000000" w:rsidDel="00000000" w:rsidP="00000000" w:rsidRDefault="00000000" w:rsidRPr="00000000" w14:paraId="00000005">
      <w:pPr>
        <w:spacing w:after="60" w:line="240" w:lineRule="auto"/>
        <w:ind w:left="-425.19685039370086" w:right="7.204724409448886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Consulenza Specialistica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Analisi strategica: Quick Scan Assessments per valutare la conformità e identificare aree di miglioramento, ottimizzazione della supply chain per ridurre costi e tempi, supporto nella gestione dell'export control e delle normative dual use, classificazione tariffaria, calcolo dei dazi e delle imposte.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Supporto operativo: classificazione delle merci, determinazione dell'origine preferenziale e non preferenziale, gestione delle richieste di autorizzazioni doganali (es. AEO), formazione del personale, digitalizzazione delle interfacce (EDI) e servizi di help desk.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20"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Consulenza specifica: supporto per operazioni particolari quali Temporary Admission,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Dichiarazione Intrastat, perfezionamento attivo e passivo, gestione dei Carnet ATA, CBAM, EUDR.</w:t>
      </w:r>
    </w:p>
    <w:p w:rsidR="00000000" w:rsidDel="00000000" w:rsidP="00000000" w:rsidRDefault="00000000" w:rsidRPr="00000000" w14:paraId="00000009">
      <w:pPr>
        <w:spacing w:after="60"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Digitalizzazione dei processi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Integrazione EDI: scambio elettronico dei dati con le autorità doganali.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Portale clienti: accesso online per il monitoraggio delle pratiche, la gestione dei documenti e la reportistica personalizzata.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Automazione Intelligente: utilizzo di software avanzati e API per automatizzare le attività ripetitive e ridurre gli errori.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Applicazione strategica dell’Intelligenza Artificiale per velocizzare e semplificare le diverse operazioni di raccolta, elaborazione e archiviazione di documenti, dati e report.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20"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 gruppo Customs Support è presente in 14 paesi europei, gestisce annualmente oltre 3 milioni di dichiarazioni doganali, conta su più di 1.700 professionisti e ha un fatturato complessivo che supera i 300 milioni di euro.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  <w:sectPr>
          <w:headerReference r:id="rId7" w:type="default"/>
          <w:footerReference r:id="rId8" w:type="default"/>
          <w:pgSz w:h="16834" w:w="11909" w:orient="portrait"/>
          <w:pgMar w:bottom="1440" w:top="1440" w:left="1559.0551181102362" w:right="712.2047244094489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Customs Support Italia opera in tutto il territorio nazionale, tramite 16 filiali con presenza diretta.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  <w:sectPr>
          <w:type w:val="continuous"/>
          <w:pgSz w:h="16834" w:w="11909" w:orient="portrait"/>
          <w:pgMar w:bottom="1440" w:top="1440" w:left="1559.0551181102362" w:right="712.2047244094489" w:header="720" w:footer="720"/>
          <w:cols w:equalWidth="0" w:num="3">
            <w:col w:space="720" w:w="2731.3999999999996"/>
            <w:col w:space="720" w:w="2731.3999999999996"/>
            <w:col w:space="0" w:w="2731.3999999999996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Customs Support sarà presente come espositore alla fiera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Go - International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Milano il 17 e 18 settembre e con un workshop ad accesso libero per presentare alcuni dei cambiamenti chiave per chi opera nel commercio internazionale. Dalla riforma del sistema doganale (D.Lgs. 141/2024) alle ultime disposizioni su CBAM, fino agli obblighi EUDR per la sostenibilità, l’incontro fornirà una visione strategica e operativa per prepararsi alle nuove richieste dell’Unione Europea.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-425.19685039370086" w:right="7.204724409448886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80" w:line="276" w:lineRule="auto"/>
        <w:ind w:left="-425.19685039370086" w:right="7.204724409448886" w:firstLine="0"/>
        <w:jc w:val="both"/>
        <w:rPr>
          <w:rFonts w:ascii="Calibri" w:cs="Calibri" w:eastAsia="Calibri" w:hAnsi="Calibri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Per ulteriori informazioni: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76" w:lineRule="auto"/>
        <w:ind w:left="-425.19685039370086" w:right="7.204724409448886" w:firstLine="0"/>
        <w:jc w:val="both"/>
        <w:rPr>
          <w:rFonts w:ascii="Calibri" w:cs="Calibri" w:eastAsia="Calibri" w:hAnsi="Calibri"/>
          <w:sz w:val="20"/>
          <w:szCs w:val="20"/>
          <w:highlight w:val="white"/>
        </w:rPr>
        <w:sectPr>
          <w:type w:val="continuous"/>
          <w:pgSz w:h="16834" w:w="11909" w:orient="portrait"/>
          <w:pgMar w:bottom="1440" w:top="1440" w:left="1559.0551181102362" w:right="712.2047244094489" w:header="720" w:footer="720"/>
        </w:sectPr>
      </w:pP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KT25 | Elena Ribet |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highlight w:val="white"/>
            <w:u w:val="single"/>
            <w:rtl w:val="0"/>
          </w:rPr>
          <w:t xml:space="preserve">csg@kt25.it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 | +39 3472856752</w:t>
      </w:r>
    </w:p>
    <w:p w:rsidR="00000000" w:rsidDel="00000000" w:rsidP="00000000" w:rsidRDefault="00000000" w:rsidRPr="00000000" w14:paraId="00000018">
      <w:pPr>
        <w:ind w:left="-425.19685039370086" w:right="7.204724409448886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425.19685039370086" w:right="7.204724409448886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425.19685039370086" w:right="7.204724409448886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559.0551181102362" w:right="712.2047244094489" w:header="720" w:footer="720"/>
      <w:cols w:equalWidth="0" w:num="3">
        <w:col w:space="720" w:w="2731.3999999999996"/>
        <w:col w:space="720" w:w="2731.3999999999996"/>
        <w:col w:space="0" w:w="2731.3999999999996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/>
      <w:drawing>
        <wp:inline distB="19050" distT="19050" distL="19050" distR="19050">
          <wp:extent cx="2700437" cy="347581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00437" cy="34758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1428.6614173228347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9B082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 w:val="1"/>
    <w:rsid w:val="009B0821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rsid w:val="009B082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9B0821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9B0821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sg@kt25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HCVdkO6XZgFlxPjX9e7D7puxRQ==">CgMxLjA4AHIhMUxoNHpTUWNTMHVxZlBkQ1NYMEZmd1dnWHFYNWl0ajd5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2025-09-05T09:11:00Z</dcterms:created>
  <dc:creator>Davide Passoni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e94301-eb43-40a0-9668-f00d772fe0ff_Enabled">
    <vt:lpwstr>true</vt:lpwstr>
  </property>
  <property fmtid="{D5CDD505-2E9C-101B-9397-08002B2CF9AE}" pid="3" name="MSIP_Label_eae94301-eb43-40a0-9668-f00d772fe0ff_SetDate">
    <vt:lpwstr>2025-09-05T09:11:04Z</vt:lpwstr>
  </property>
  <property fmtid="{D5CDD505-2E9C-101B-9397-08002B2CF9AE}" pid="4" name="MSIP_Label_eae94301-eb43-40a0-9668-f00d772fe0ff_Method">
    <vt:lpwstr>Standard</vt:lpwstr>
  </property>
  <property fmtid="{D5CDD505-2E9C-101B-9397-08002B2CF9AE}" pid="5" name="MSIP_Label_eae94301-eb43-40a0-9668-f00d772fe0ff_Name">
    <vt:lpwstr>defa4170-0d19-0005-0004-bc88714345d2</vt:lpwstr>
  </property>
  <property fmtid="{D5CDD505-2E9C-101B-9397-08002B2CF9AE}" pid="6" name="MSIP_Label_eae94301-eb43-40a0-9668-f00d772fe0ff_SiteId">
    <vt:lpwstr>b18f3234-1486-4680-b5bf-344d0413f622</vt:lpwstr>
  </property>
  <property fmtid="{D5CDD505-2E9C-101B-9397-08002B2CF9AE}" pid="7" name="MSIP_Label_eae94301-eb43-40a0-9668-f00d772fe0ff_ActionId">
    <vt:lpwstr>8cc3e9ab-2cc6-49c7-9112-df40ed18cd23</vt:lpwstr>
  </property>
  <property fmtid="{D5CDD505-2E9C-101B-9397-08002B2CF9AE}" pid="8" name="MSIP_Label_eae94301-eb43-40a0-9668-f00d772fe0ff_ContentBits">
    <vt:lpwstr>0</vt:lpwstr>
  </property>
  <property fmtid="{D5CDD505-2E9C-101B-9397-08002B2CF9AE}" pid="9" name="MSIP_Label_eae94301-eb43-40a0-9668-f00d772fe0ff_Tag">
    <vt:lpwstr>10, 3, 0, 1</vt:lpwstr>
  </property>
</Properties>
</file>