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DA081C" w14:textId="77777777" w:rsidR="004471D8" w:rsidRPr="00CD7800" w:rsidRDefault="00000000">
      <w:pPr>
        <w:pStyle w:val="Normal1"/>
        <w:spacing w:line="276" w:lineRule="auto"/>
        <w:jc w:val="center"/>
        <w:rPr>
          <w:rFonts w:ascii="Calibri" w:eastAsia="Calibri" w:hAnsi="Calibri" w:cs="Calibri"/>
          <w:b/>
          <w:color w:val="000000"/>
          <w:sz w:val="40"/>
          <w:lang w:val="es-ES"/>
        </w:rPr>
      </w:pPr>
      <w:proofErr w:type="spellStart"/>
      <w:r w:rsidRPr="00CD7800">
        <w:rPr>
          <w:rFonts w:ascii="Calibri" w:eastAsia="Calibri" w:hAnsi="Calibri" w:cs="Calibri"/>
          <w:b/>
          <w:color w:val="000000"/>
          <w:sz w:val="40"/>
          <w:lang w:val="es-ES"/>
        </w:rPr>
        <w:t>ManageEngine</w:t>
      </w:r>
      <w:proofErr w:type="spellEnd"/>
      <w:r w:rsidRPr="00CD7800">
        <w:rPr>
          <w:rFonts w:ascii="Calibri" w:eastAsia="Calibri" w:hAnsi="Calibri" w:cs="Calibri"/>
          <w:b/>
          <w:color w:val="000000"/>
          <w:sz w:val="40"/>
          <w:lang w:val="es-ES"/>
        </w:rPr>
        <w:t xml:space="preserve"> refuerza AD360 con nuevas funciones para reducir el riesgo de exposición y blindar la identidad del usuario</w:t>
      </w:r>
    </w:p>
    <w:p w14:paraId="3975E8EC" w14:textId="77777777" w:rsidR="004471D8" w:rsidRPr="00CD7800" w:rsidRDefault="00000000">
      <w:pPr>
        <w:pStyle w:val="Normal1"/>
        <w:spacing w:line="276" w:lineRule="auto"/>
        <w:jc w:val="center"/>
        <w:rPr>
          <w:rFonts w:ascii="Calibri" w:eastAsia="Calibri" w:hAnsi="Calibri" w:cs="Calibri"/>
          <w:i/>
          <w:color w:val="000000"/>
          <w:lang w:val="es-ES"/>
        </w:rPr>
      </w:pPr>
      <w:r w:rsidRPr="00CD7800">
        <w:rPr>
          <w:rFonts w:ascii="Calibri" w:eastAsia="Calibri" w:hAnsi="Calibri" w:cs="Calibri"/>
          <w:i/>
          <w:color w:val="000000"/>
          <w:lang w:val="es-ES"/>
        </w:rPr>
        <w:t xml:space="preserve">Las nuevas capacidades ayudan a las empresas a visualizar las rutas de ataque, aplicar autenticación </w:t>
      </w:r>
      <w:proofErr w:type="spellStart"/>
      <w:r w:rsidRPr="00CD7800">
        <w:rPr>
          <w:rFonts w:ascii="Calibri" w:eastAsia="Calibri" w:hAnsi="Calibri" w:cs="Calibri"/>
          <w:i/>
          <w:color w:val="000000"/>
          <w:lang w:val="es-ES"/>
        </w:rPr>
        <w:t>multifactor</w:t>
      </w:r>
      <w:proofErr w:type="spellEnd"/>
      <w:r w:rsidRPr="00CD7800">
        <w:rPr>
          <w:rFonts w:ascii="Calibri" w:eastAsia="Calibri" w:hAnsi="Calibri" w:cs="Calibri"/>
          <w:i/>
          <w:color w:val="000000"/>
          <w:lang w:val="es-ES"/>
        </w:rPr>
        <w:t xml:space="preserve"> (MFA) en cuentas locales no administradas y alinear la seguridad de la identidad con el marco de confianza cero.</w:t>
      </w:r>
    </w:p>
    <w:p w14:paraId="7B757BE6" w14:textId="77777777" w:rsidR="004471D8" w:rsidRPr="00CD7800" w:rsidRDefault="00000000">
      <w:pPr>
        <w:pStyle w:val="Normal1"/>
        <w:numPr>
          <w:ilvl w:val="0"/>
          <w:numId w:val="1"/>
        </w:numPr>
        <w:spacing w:line="276" w:lineRule="auto"/>
        <w:ind w:left="720" w:hanging="360"/>
        <w:jc w:val="both"/>
        <w:rPr>
          <w:rFonts w:ascii="Calibri" w:eastAsia="Calibri" w:hAnsi="Calibri" w:cs="Calibri"/>
          <w:b/>
          <w:color w:val="000000"/>
          <w:lang w:val="es-ES"/>
        </w:rPr>
      </w:pPr>
      <w:r w:rsidRPr="00CD7800">
        <w:rPr>
          <w:rFonts w:ascii="Calibri" w:eastAsia="Calibri" w:hAnsi="Calibri" w:cs="Calibri"/>
          <w:b/>
          <w:color w:val="000000"/>
          <w:lang w:val="es-ES"/>
        </w:rPr>
        <w:t>La función de gestión de la exposición al riesgo de identidad agrega capacidades de detección de amenazas de identidad que ayudan a descubrir cómo los atacantes podrían escalar privilegios o moverse lateralmente dentro del entorno.</w:t>
      </w:r>
    </w:p>
    <w:p w14:paraId="651F2269" w14:textId="77777777" w:rsidR="004471D8" w:rsidRPr="00CD7800" w:rsidRDefault="00000000">
      <w:pPr>
        <w:pStyle w:val="Normal1"/>
        <w:numPr>
          <w:ilvl w:val="0"/>
          <w:numId w:val="1"/>
        </w:numPr>
        <w:spacing w:line="276" w:lineRule="auto"/>
        <w:ind w:left="720" w:hanging="360"/>
        <w:jc w:val="both"/>
        <w:rPr>
          <w:rFonts w:ascii="Calibri" w:eastAsia="Calibri" w:hAnsi="Calibri" w:cs="Calibri"/>
          <w:b/>
          <w:color w:val="000000"/>
          <w:lang w:val="es-ES"/>
        </w:rPr>
      </w:pPr>
      <w:r w:rsidRPr="00CD7800">
        <w:rPr>
          <w:rFonts w:ascii="Calibri" w:eastAsia="Calibri" w:hAnsi="Calibri" w:cs="Calibri"/>
          <w:b/>
          <w:color w:val="000000"/>
          <w:lang w:val="es-ES"/>
        </w:rPr>
        <w:t>Con MFA de usuario local, las empresas pueden extender MFA de nivel empresarial a cuentas locales no administradas anteriormente.</w:t>
      </w:r>
    </w:p>
    <w:p w14:paraId="7677F9B9" w14:textId="77777777" w:rsidR="004471D8" w:rsidRPr="00CD7800" w:rsidRDefault="00000000">
      <w:pPr>
        <w:pStyle w:val="Normal1"/>
        <w:numPr>
          <w:ilvl w:val="0"/>
          <w:numId w:val="1"/>
        </w:numPr>
        <w:spacing w:line="276" w:lineRule="auto"/>
        <w:ind w:left="720" w:hanging="360"/>
        <w:jc w:val="both"/>
        <w:rPr>
          <w:rFonts w:ascii="Calibri" w:eastAsia="Calibri" w:hAnsi="Calibri" w:cs="Calibri"/>
          <w:b/>
          <w:color w:val="000000"/>
          <w:lang w:val="es-ES"/>
        </w:rPr>
      </w:pPr>
      <w:r w:rsidRPr="00CD7800">
        <w:rPr>
          <w:rFonts w:ascii="Calibri" w:eastAsia="Calibri" w:hAnsi="Calibri" w:cs="Calibri"/>
          <w:b/>
          <w:color w:val="000000"/>
          <w:lang w:val="es-ES"/>
        </w:rPr>
        <w:t xml:space="preserve">Lea sobre la gestión de la exposición al riesgo de identidad de AD360 en </w:t>
      </w:r>
      <w:hyperlink r:id="rId7" w:history="1">
        <w:r w:rsidRPr="00CD7800">
          <w:rPr>
            <w:rFonts w:ascii="Calibri" w:eastAsia="Calibri" w:hAnsi="Calibri" w:cs="Calibri"/>
            <w:b/>
            <w:color w:val="CC9900"/>
            <w:u w:val="single" w:color="0000FF"/>
            <w:lang w:val="es-ES"/>
          </w:rPr>
          <w:t>https://mnge.it/risk-exposure-mngmt</w:t>
        </w:r>
      </w:hyperlink>
      <w:r w:rsidRPr="00CD7800">
        <w:rPr>
          <w:rFonts w:ascii="Calibri" w:eastAsia="Calibri" w:hAnsi="Calibri" w:cs="Calibri"/>
          <w:b/>
          <w:color w:val="000000"/>
          <w:lang w:val="es-ES"/>
        </w:rPr>
        <w:t xml:space="preserve"> y las capacidades de MFA de usuarios locales en </w:t>
      </w:r>
      <w:hyperlink r:id="rId8" w:history="1">
        <w:r w:rsidRPr="00CD7800">
          <w:rPr>
            <w:rFonts w:ascii="Calibri" w:eastAsia="Calibri" w:hAnsi="Calibri" w:cs="Calibri"/>
            <w:b/>
            <w:color w:val="CC9900"/>
            <w:u w:val="single" w:color="0000FF"/>
            <w:lang w:val="es-ES"/>
          </w:rPr>
          <w:t>https://mnge.it/local-user-mfa</w:t>
        </w:r>
      </w:hyperlink>
      <w:r w:rsidRPr="00CD7800">
        <w:rPr>
          <w:rFonts w:ascii="Calibri" w:eastAsia="Calibri" w:hAnsi="Calibri" w:cs="Calibri"/>
          <w:b/>
          <w:color w:val="000000"/>
          <w:lang w:val="es-ES"/>
        </w:rPr>
        <w:t xml:space="preserve"> </w:t>
      </w:r>
    </w:p>
    <w:p w14:paraId="73B41767" w14:textId="326B76E0" w:rsidR="004471D8" w:rsidRPr="00CD7800" w:rsidRDefault="00000000">
      <w:pPr>
        <w:pStyle w:val="Normal1"/>
        <w:jc w:val="both"/>
        <w:rPr>
          <w:rFonts w:ascii="Calibri" w:eastAsia="Arimo Regular" w:hAnsi="Calibri" w:cs="Calibri"/>
          <w:color w:val="000000"/>
          <w:sz w:val="22"/>
          <w:lang w:val="es-ES"/>
        </w:rPr>
      </w:pPr>
      <w:r w:rsidRPr="00CD7800">
        <w:rPr>
          <w:rFonts w:ascii="Calibri" w:eastAsia="Calibri" w:hAnsi="Calibri" w:cs="Calibri"/>
          <w:b/>
          <w:color w:val="000000"/>
          <w:lang w:val="es-ES"/>
        </w:rPr>
        <w:t xml:space="preserve">MADRID, </w:t>
      </w:r>
      <w:r w:rsidR="00CD7800" w:rsidRPr="00CD7800">
        <w:rPr>
          <w:rFonts w:ascii="Calibri" w:eastAsia="Calibri" w:hAnsi="Calibri" w:cs="Calibri"/>
          <w:b/>
          <w:color w:val="000000"/>
          <w:lang w:val="es-ES"/>
        </w:rPr>
        <w:t>04</w:t>
      </w:r>
      <w:r w:rsidRPr="00CD7800">
        <w:rPr>
          <w:rFonts w:ascii="Calibri" w:eastAsia="Calibri" w:hAnsi="Calibri" w:cs="Calibri"/>
          <w:b/>
          <w:color w:val="000000"/>
          <w:lang w:val="es-ES"/>
        </w:rPr>
        <w:t xml:space="preserve"> de </w:t>
      </w:r>
      <w:r w:rsidR="00CD7800" w:rsidRPr="00CD7800">
        <w:rPr>
          <w:rFonts w:ascii="Calibri" w:eastAsia="Calibri" w:hAnsi="Calibri" w:cs="Calibri"/>
          <w:b/>
          <w:color w:val="000000"/>
          <w:lang w:val="es-ES"/>
        </w:rPr>
        <w:t>septiembre</w:t>
      </w:r>
      <w:r w:rsidRPr="00CD7800">
        <w:rPr>
          <w:rFonts w:ascii="Calibri" w:eastAsia="Calibri" w:hAnsi="Calibri" w:cs="Calibri"/>
          <w:b/>
          <w:color w:val="000000"/>
          <w:lang w:val="es-ES"/>
        </w:rPr>
        <w:t xml:space="preserve"> de 2025 —  </w:t>
      </w:r>
      <w:hyperlink r:id="rId9" w:history="1">
        <w:proofErr w:type="spellStart"/>
        <w:r w:rsidRPr="00CD7800">
          <w:rPr>
            <w:rFonts w:ascii="Calibri" w:eastAsia="Calibri" w:hAnsi="Calibri" w:cs="Calibri"/>
            <w:color w:val="CC9900"/>
            <w:u w:val="single" w:color="0000FF"/>
            <w:lang w:val="es-ES"/>
          </w:rPr>
          <w:t>ManageEngine</w:t>
        </w:r>
        <w:proofErr w:type="spellEnd"/>
      </w:hyperlink>
      <w:r w:rsidRPr="00CD7800">
        <w:rPr>
          <w:rFonts w:ascii="Calibri" w:eastAsia="Calibri" w:hAnsi="Calibri" w:cs="Calibri"/>
          <w:color w:val="000000"/>
          <w:lang w:val="es-ES"/>
        </w:rPr>
        <w:t xml:space="preserve">, </w:t>
      </w:r>
      <w:r w:rsidRPr="00CD7800">
        <w:rPr>
          <w:rFonts w:ascii="Calibri" w:eastAsia="Arimo Regular" w:hAnsi="Calibri" w:cs="Calibri"/>
          <w:color w:val="000000"/>
          <w:sz w:val="22"/>
          <w:lang w:val="es-ES"/>
        </w:rPr>
        <w:t xml:space="preserve">una división de Zoho </w:t>
      </w:r>
      <w:proofErr w:type="spellStart"/>
      <w:r w:rsidRPr="00CD7800">
        <w:rPr>
          <w:rFonts w:ascii="Calibri" w:eastAsia="Arimo Regular" w:hAnsi="Calibri" w:cs="Calibri"/>
          <w:color w:val="000000"/>
          <w:sz w:val="22"/>
          <w:lang w:val="es-ES"/>
        </w:rPr>
        <w:t>Corporation</w:t>
      </w:r>
      <w:proofErr w:type="spellEnd"/>
      <w:r w:rsidRPr="00CD7800">
        <w:rPr>
          <w:rFonts w:ascii="Calibri" w:eastAsia="Arimo Regular" w:hAnsi="Calibri" w:cs="Calibri"/>
          <w:color w:val="000000"/>
          <w:sz w:val="22"/>
          <w:lang w:val="es-ES"/>
        </w:rPr>
        <w:t xml:space="preserve"> y proveedor líder de soluciones de gestión de TI empresariales, anunció hoy la disponibilidad general de las funciones de gestión de exposición al riesgo de identidad y MFA de usuario local en </w:t>
      </w:r>
      <w:hyperlink r:id="rId10" w:history="1">
        <w:r w:rsidRPr="00CD7800">
          <w:rPr>
            <w:rFonts w:ascii="Calibri" w:eastAsia="Arimo Regular" w:hAnsi="Calibri" w:cs="Calibri"/>
            <w:color w:val="0000FF"/>
            <w:sz w:val="22"/>
            <w:u w:val="single" w:color="0000FF"/>
            <w:lang w:val="es-ES"/>
          </w:rPr>
          <w:t>AD360</w:t>
        </w:r>
      </w:hyperlink>
      <w:r w:rsidRPr="00CD7800">
        <w:rPr>
          <w:rFonts w:ascii="Calibri" w:eastAsia="Arimo Regular" w:hAnsi="Calibri" w:cs="Calibri"/>
          <w:color w:val="000000"/>
          <w:sz w:val="22"/>
          <w:lang w:val="es-ES"/>
        </w:rPr>
        <w:t xml:space="preserve">, su plataforma convergente de gestión de identidad y acceso (IAM). </w:t>
      </w:r>
    </w:p>
    <w:p w14:paraId="5EF2CB85" w14:textId="77777777" w:rsidR="004471D8" w:rsidRPr="00CD7800" w:rsidRDefault="00000000">
      <w:pPr>
        <w:pStyle w:val="Normal1"/>
        <w:jc w:val="both"/>
        <w:rPr>
          <w:rFonts w:ascii="Calibri" w:eastAsia="Arimo Regular" w:hAnsi="Calibri" w:cs="Calibri"/>
          <w:color w:val="000000"/>
          <w:sz w:val="22"/>
          <w:lang w:val="es-ES"/>
        </w:rPr>
      </w:pPr>
      <w:r w:rsidRPr="00CD7800">
        <w:rPr>
          <w:rFonts w:ascii="Calibri" w:eastAsia="Arimo Regular" w:hAnsi="Calibri" w:cs="Calibri"/>
          <w:color w:val="000000"/>
          <w:sz w:val="22"/>
          <w:lang w:val="es-ES"/>
        </w:rPr>
        <w:t>La versión permite a los equipos de seguridad detectar riesgos de escalada de privilegios y proteger cuentas locales no administradas, dos vectores comunes de ataque de identidad que los atacantes continúan explotando.</w:t>
      </w:r>
    </w:p>
    <w:p w14:paraId="237685F5" w14:textId="122E84EA" w:rsidR="004471D8" w:rsidRPr="00CD7800" w:rsidRDefault="00000000">
      <w:pPr>
        <w:pStyle w:val="Normal1"/>
        <w:spacing w:before="240"/>
        <w:jc w:val="both"/>
        <w:rPr>
          <w:rFonts w:ascii="Calibri" w:eastAsia="Arimo Regular" w:hAnsi="Calibri" w:cs="Calibri"/>
          <w:color w:val="000000"/>
          <w:sz w:val="22"/>
          <w:lang w:val="es-ES"/>
        </w:rPr>
      </w:pPr>
      <w:r w:rsidRPr="00CD7800">
        <w:rPr>
          <w:rFonts w:ascii="Calibri" w:eastAsia="Arimo Regular" w:hAnsi="Calibri" w:cs="Calibri"/>
          <w:color w:val="000000"/>
          <w:sz w:val="22"/>
          <w:lang w:val="es-ES"/>
        </w:rPr>
        <w:t xml:space="preserve">La identidad sigue siendo el principal vector de ataque en las empresas modernas, como lo muestra el </w:t>
      </w:r>
      <w:hyperlink r:id="rId11" w:history="1">
        <w:r w:rsidRPr="00CD7800">
          <w:rPr>
            <w:rFonts w:ascii="Calibri" w:eastAsia="Arimo Regular" w:hAnsi="Calibri" w:cs="Calibri"/>
            <w:color w:val="CC9900"/>
            <w:sz w:val="22"/>
            <w:u w:val="single" w:color="0000FF"/>
            <w:lang w:val="es-ES"/>
          </w:rPr>
          <w:t xml:space="preserve">Informe de Investigaciones de </w:t>
        </w:r>
        <w:r w:rsidR="00CD7800">
          <w:rPr>
            <w:rFonts w:ascii="Calibri" w:eastAsia="Arimo Regular" w:hAnsi="Calibri" w:cs="Calibri"/>
            <w:color w:val="CC9900"/>
            <w:sz w:val="22"/>
            <w:u w:val="single" w:color="0000FF"/>
            <w:lang w:val="es-ES"/>
          </w:rPr>
          <w:t>Filtraciones</w:t>
        </w:r>
        <w:r w:rsidRPr="00CD7800">
          <w:rPr>
            <w:rFonts w:ascii="Calibri" w:eastAsia="Arimo Regular" w:hAnsi="Calibri" w:cs="Calibri"/>
            <w:color w:val="CC9900"/>
            <w:sz w:val="22"/>
            <w:u w:val="single" w:color="0000FF"/>
            <w:lang w:val="es-ES"/>
          </w:rPr>
          <w:t xml:space="preserve"> de Datos 2025 de Verizon</w:t>
        </w:r>
      </w:hyperlink>
      <w:r w:rsidRPr="00CD7800">
        <w:rPr>
          <w:rFonts w:ascii="Calibri" w:eastAsia="Arimo Regular" w:hAnsi="Calibri" w:cs="Calibri"/>
          <w:color w:val="000000"/>
          <w:sz w:val="22"/>
          <w:lang w:val="es-ES"/>
        </w:rPr>
        <w:t>, que encontró que el abuso de credenciales fue el vector principal de acceso en el 22 % de las infracciones. El informe también destacó el ataque generalizado de cuentas locales mal administradas y rutas de privilegios en más de 12.000 infracciones confirmadas.</w:t>
      </w:r>
    </w:p>
    <w:p w14:paraId="14FDDD46" w14:textId="77777777" w:rsidR="004471D8" w:rsidRPr="00CD7800" w:rsidRDefault="00000000">
      <w:pPr>
        <w:pStyle w:val="Normal1"/>
        <w:spacing w:before="240"/>
        <w:jc w:val="both"/>
        <w:rPr>
          <w:rFonts w:ascii="Calibri" w:eastAsia="Arimo Regular" w:hAnsi="Calibri" w:cs="Calibri"/>
          <w:color w:val="000000"/>
          <w:sz w:val="22"/>
          <w:lang w:val="es-ES"/>
        </w:rPr>
      </w:pPr>
      <w:r w:rsidRPr="00CD7800">
        <w:rPr>
          <w:rFonts w:ascii="Calibri" w:eastAsia="Arimo Regular" w:hAnsi="Calibri" w:cs="Calibri"/>
          <w:color w:val="000000"/>
          <w:sz w:val="22"/>
          <w:lang w:val="es-ES"/>
        </w:rPr>
        <w:t>"</w:t>
      </w:r>
      <w:r w:rsidRPr="00CD7800">
        <w:rPr>
          <w:rFonts w:ascii="Calibri" w:eastAsia="Arimo Regular" w:hAnsi="Calibri" w:cs="Calibri"/>
          <w:i/>
          <w:color w:val="000000"/>
          <w:sz w:val="22"/>
          <w:lang w:val="es-ES"/>
        </w:rPr>
        <w:t xml:space="preserve">Con este lanzamiento, </w:t>
      </w:r>
      <w:proofErr w:type="spellStart"/>
      <w:r w:rsidRPr="00CD7800">
        <w:rPr>
          <w:rFonts w:ascii="Calibri" w:eastAsia="Arimo Regular" w:hAnsi="Calibri" w:cs="Calibri"/>
          <w:i/>
          <w:color w:val="000000"/>
          <w:sz w:val="22"/>
          <w:lang w:val="es-ES"/>
        </w:rPr>
        <w:t>ManageEngine</w:t>
      </w:r>
      <w:proofErr w:type="spellEnd"/>
      <w:r w:rsidRPr="00CD7800">
        <w:rPr>
          <w:rFonts w:ascii="Calibri" w:eastAsia="Arimo Regular" w:hAnsi="Calibri" w:cs="Calibri"/>
          <w:i/>
          <w:color w:val="000000"/>
          <w:sz w:val="22"/>
          <w:lang w:val="es-ES"/>
        </w:rPr>
        <w:t xml:space="preserve"> AD360 va más allá de la IAM tradicional al incorporar defensas contra amenazas de identidad en las operaciones de identidad centrales. Al convertir los datos de identidad en información de seguridad procesable, estamos ayudando a los clientes a hacer de IAM la </w:t>
      </w:r>
      <w:r w:rsidRPr="00CD7800">
        <w:rPr>
          <w:rFonts w:ascii="Calibri" w:eastAsia="Arimo Regular" w:hAnsi="Calibri" w:cs="Calibri"/>
          <w:i/>
          <w:color w:val="000000"/>
          <w:sz w:val="22"/>
          <w:lang w:val="es-ES"/>
        </w:rPr>
        <w:lastRenderedPageBreak/>
        <w:t>primera línea de defensa, no una casilla de verificación</w:t>
      </w:r>
      <w:r w:rsidRPr="00CD7800">
        <w:rPr>
          <w:rFonts w:ascii="Calibri" w:eastAsia="Arimo Regular" w:hAnsi="Calibri" w:cs="Calibri"/>
          <w:color w:val="000000"/>
          <w:sz w:val="22"/>
          <w:lang w:val="es-ES"/>
        </w:rPr>
        <w:t xml:space="preserve">", afirma </w:t>
      </w:r>
      <w:proofErr w:type="spellStart"/>
      <w:r w:rsidRPr="00CD7800">
        <w:rPr>
          <w:rFonts w:ascii="Calibri" w:eastAsia="Arimo Regular" w:hAnsi="Calibri" w:cs="Calibri"/>
          <w:color w:val="000000"/>
          <w:sz w:val="22"/>
          <w:lang w:val="es-ES"/>
        </w:rPr>
        <w:t>Manikandan</w:t>
      </w:r>
      <w:proofErr w:type="spellEnd"/>
      <w:r w:rsidRPr="00CD7800">
        <w:rPr>
          <w:rFonts w:ascii="Calibri" w:eastAsia="Arimo Regular" w:hAnsi="Calibri" w:cs="Calibri"/>
          <w:color w:val="000000"/>
          <w:sz w:val="22"/>
          <w:lang w:val="es-ES"/>
        </w:rPr>
        <w:t xml:space="preserve"> </w:t>
      </w:r>
      <w:proofErr w:type="spellStart"/>
      <w:r w:rsidRPr="00CD7800">
        <w:rPr>
          <w:rFonts w:ascii="Calibri" w:eastAsia="Arimo Regular" w:hAnsi="Calibri" w:cs="Calibri"/>
          <w:color w:val="000000"/>
          <w:sz w:val="22"/>
          <w:lang w:val="es-ES"/>
        </w:rPr>
        <w:t>Thangaraj</w:t>
      </w:r>
      <w:proofErr w:type="spellEnd"/>
      <w:r w:rsidRPr="00CD7800">
        <w:rPr>
          <w:rFonts w:ascii="Calibri" w:eastAsia="Arimo Regular" w:hAnsi="Calibri" w:cs="Calibri"/>
          <w:color w:val="000000"/>
          <w:sz w:val="22"/>
          <w:lang w:val="es-ES"/>
        </w:rPr>
        <w:t xml:space="preserve">, vicepresidente de </w:t>
      </w:r>
      <w:proofErr w:type="spellStart"/>
      <w:r w:rsidRPr="00CD7800">
        <w:rPr>
          <w:rFonts w:ascii="Calibri" w:eastAsia="Arimo Regular" w:hAnsi="Calibri" w:cs="Calibri"/>
          <w:color w:val="000000"/>
          <w:sz w:val="22"/>
          <w:lang w:val="es-ES"/>
        </w:rPr>
        <w:t>ManageEngine</w:t>
      </w:r>
      <w:proofErr w:type="spellEnd"/>
      <w:r w:rsidRPr="00CD7800">
        <w:rPr>
          <w:rFonts w:ascii="Calibri" w:eastAsia="Arimo Regular" w:hAnsi="Calibri" w:cs="Calibri"/>
          <w:color w:val="000000"/>
          <w:sz w:val="22"/>
          <w:lang w:val="es-ES"/>
        </w:rPr>
        <w:t xml:space="preserve">. </w:t>
      </w:r>
    </w:p>
    <w:p w14:paraId="6A1E9507" w14:textId="77777777" w:rsidR="004471D8" w:rsidRPr="00CD7800" w:rsidRDefault="00000000">
      <w:pPr>
        <w:pStyle w:val="Normal1"/>
        <w:spacing w:before="240"/>
        <w:jc w:val="both"/>
        <w:rPr>
          <w:rFonts w:ascii="Calibri" w:eastAsia="Arimo Regular" w:hAnsi="Calibri" w:cs="Calibri"/>
          <w:color w:val="000000"/>
          <w:sz w:val="22"/>
          <w:lang w:val="es-ES"/>
        </w:rPr>
      </w:pPr>
      <w:r w:rsidRPr="00CD7800">
        <w:rPr>
          <w:rFonts w:ascii="Calibri" w:eastAsia="Arimo Regular" w:hAnsi="Calibri" w:cs="Calibri"/>
          <w:color w:val="000000"/>
          <w:sz w:val="22"/>
          <w:lang w:val="es-ES"/>
        </w:rPr>
        <w:t>Si bien la mayoría de las herramientas de IAM se centran en el aprovisionamiento y la aplicación de políticas, AD360 agrega mapeo de exposición al riesgo a través del análisis de rutas de ataque, así como la aplicación local de MFA, lo que ayuda a las empresas a cerrar las rutas de ataque que a menudo pasan desapercibidas. Esto marca un paso clave en la evolución de la gestión de identidades de una capa de control de acceso a un control de seguridad activo.</w:t>
      </w:r>
    </w:p>
    <w:p w14:paraId="32481C23" w14:textId="77777777" w:rsidR="004471D8" w:rsidRPr="00CD7800" w:rsidRDefault="00000000">
      <w:pPr>
        <w:pStyle w:val="Normal1"/>
        <w:spacing w:before="240"/>
        <w:jc w:val="both"/>
        <w:rPr>
          <w:rFonts w:ascii="Calibri" w:eastAsia="Arimo Regular" w:hAnsi="Calibri" w:cs="Calibri"/>
          <w:color w:val="000000"/>
          <w:sz w:val="22"/>
        </w:rPr>
      </w:pPr>
      <w:proofErr w:type="spellStart"/>
      <w:r w:rsidRPr="00CD7800">
        <w:rPr>
          <w:rFonts w:ascii="Calibri" w:eastAsia="Arimo Regular" w:hAnsi="Calibri" w:cs="Calibri"/>
          <w:b/>
          <w:color w:val="000000"/>
          <w:sz w:val="22"/>
        </w:rPr>
        <w:t>Nuevas</w:t>
      </w:r>
      <w:proofErr w:type="spellEnd"/>
      <w:r w:rsidRPr="00CD7800">
        <w:rPr>
          <w:rFonts w:ascii="Calibri" w:eastAsia="Arimo Regular" w:hAnsi="Calibri" w:cs="Calibri"/>
          <w:b/>
          <w:color w:val="000000"/>
          <w:sz w:val="22"/>
        </w:rPr>
        <w:t xml:space="preserve"> </w:t>
      </w:r>
      <w:proofErr w:type="spellStart"/>
      <w:r w:rsidRPr="00CD7800">
        <w:rPr>
          <w:rFonts w:ascii="Calibri" w:eastAsia="Arimo Regular" w:hAnsi="Calibri" w:cs="Calibri"/>
          <w:b/>
          <w:color w:val="000000"/>
          <w:sz w:val="22"/>
        </w:rPr>
        <w:t>capacidades</w:t>
      </w:r>
      <w:proofErr w:type="spellEnd"/>
    </w:p>
    <w:p w14:paraId="136C4874" w14:textId="77777777" w:rsidR="004471D8" w:rsidRPr="00CD7800" w:rsidRDefault="00000000">
      <w:pPr>
        <w:pStyle w:val="Normal1"/>
        <w:numPr>
          <w:ilvl w:val="0"/>
          <w:numId w:val="2"/>
        </w:numPr>
        <w:spacing w:after="0"/>
        <w:ind w:left="720" w:hanging="360"/>
        <w:jc w:val="both"/>
        <w:rPr>
          <w:rFonts w:ascii="Calibri" w:eastAsia="Arimo Regular" w:hAnsi="Calibri" w:cs="Calibri"/>
          <w:color w:val="000000"/>
          <w:sz w:val="22"/>
          <w:lang w:val="es-ES"/>
        </w:rPr>
      </w:pPr>
      <w:r w:rsidRPr="00CD7800">
        <w:rPr>
          <w:rFonts w:ascii="Calibri" w:eastAsia="Arimo Regular" w:hAnsi="Calibri" w:cs="Calibri"/>
          <w:b/>
          <w:color w:val="000000"/>
          <w:sz w:val="22"/>
          <w:lang w:val="es-ES"/>
        </w:rPr>
        <w:t xml:space="preserve">Gestión del riesgo a la exposición de identidad: </w:t>
      </w:r>
      <w:r w:rsidRPr="00CD7800">
        <w:rPr>
          <w:rFonts w:ascii="Calibri" w:eastAsia="Arimo Regular" w:hAnsi="Calibri" w:cs="Calibri"/>
          <w:color w:val="000000"/>
          <w:sz w:val="22"/>
          <w:lang w:val="es-ES"/>
        </w:rPr>
        <w:t xml:space="preserve">el análisis basado en gráficos mapea el movimiento lateral y las rutas de escalada de privilegios en Active </w:t>
      </w:r>
      <w:proofErr w:type="spellStart"/>
      <w:r w:rsidRPr="00CD7800">
        <w:rPr>
          <w:rFonts w:ascii="Calibri" w:eastAsia="Arimo Regular" w:hAnsi="Calibri" w:cs="Calibri"/>
          <w:color w:val="000000"/>
          <w:sz w:val="22"/>
          <w:lang w:val="es-ES"/>
        </w:rPr>
        <w:t>Directory</w:t>
      </w:r>
      <w:proofErr w:type="spellEnd"/>
      <w:r w:rsidRPr="00CD7800">
        <w:rPr>
          <w:rFonts w:ascii="Calibri" w:eastAsia="Arimo Regular" w:hAnsi="Calibri" w:cs="Calibri"/>
          <w:color w:val="000000"/>
          <w:sz w:val="22"/>
          <w:lang w:val="es-ES"/>
        </w:rPr>
        <w:t xml:space="preserve"> (AD), priorizando automáticamente las configuraciones de riesgo y recomendando pasos de corrección. El motor de gráficos modela los objetos de AD como nodos y la herencia de privilegios como líneas, revelando cadenas de ataque de varios pasos en tiempo real, con sugerencias procesables que los equipos de TI pueden implementar para cerrar las rutas expuestas.</w:t>
      </w:r>
    </w:p>
    <w:p w14:paraId="3C244689" w14:textId="77777777" w:rsidR="004471D8" w:rsidRPr="00CD7800" w:rsidRDefault="00000000">
      <w:pPr>
        <w:pStyle w:val="Normal1"/>
        <w:numPr>
          <w:ilvl w:val="0"/>
          <w:numId w:val="2"/>
        </w:numPr>
        <w:spacing w:after="0"/>
        <w:ind w:left="720" w:hanging="360"/>
        <w:jc w:val="both"/>
        <w:rPr>
          <w:rFonts w:ascii="Calibri" w:eastAsia="Arimo Regular" w:hAnsi="Calibri" w:cs="Calibri"/>
          <w:color w:val="000000"/>
          <w:sz w:val="22"/>
          <w:lang w:val="es-ES"/>
        </w:rPr>
      </w:pPr>
      <w:r w:rsidRPr="00CD7800">
        <w:rPr>
          <w:rFonts w:ascii="Calibri" w:eastAsia="Arimo Regular" w:hAnsi="Calibri" w:cs="Calibri"/>
          <w:b/>
          <w:color w:val="000000"/>
          <w:sz w:val="22"/>
          <w:lang w:val="es-ES"/>
        </w:rPr>
        <w:t>MFA de usuario local:</w:t>
      </w:r>
      <w:r w:rsidRPr="00CD7800">
        <w:rPr>
          <w:rFonts w:ascii="Calibri" w:eastAsia="Arimo Regular" w:hAnsi="Calibri" w:cs="Calibri"/>
          <w:color w:val="000000"/>
          <w:sz w:val="22"/>
          <w:lang w:val="es-ES"/>
        </w:rPr>
        <w:t xml:space="preserve"> esta característica extiende la autenticación </w:t>
      </w:r>
      <w:proofErr w:type="spellStart"/>
      <w:r w:rsidRPr="00CD7800">
        <w:rPr>
          <w:rFonts w:ascii="Calibri" w:eastAsia="Arimo Regular" w:hAnsi="Calibri" w:cs="Calibri"/>
          <w:color w:val="000000"/>
          <w:sz w:val="22"/>
          <w:lang w:val="es-ES"/>
        </w:rPr>
        <w:t>multifactor</w:t>
      </w:r>
      <w:proofErr w:type="spellEnd"/>
      <w:r w:rsidRPr="00CD7800">
        <w:rPr>
          <w:rFonts w:ascii="Calibri" w:eastAsia="Arimo Regular" w:hAnsi="Calibri" w:cs="Calibri"/>
          <w:color w:val="000000"/>
          <w:sz w:val="22"/>
          <w:lang w:val="es-ES"/>
        </w:rPr>
        <w:t xml:space="preserve"> a las cuentas locales en servidores que no están unidos a un dominio, recursos en zonas desmilitarizadas (DMZ) y entornos de prueba, lo que frustra el relleno de credenciales y las técnicas de persistencia. </w:t>
      </w:r>
    </w:p>
    <w:p w14:paraId="56B2B8AE" w14:textId="77777777" w:rsidR="004471D8" w:rsidRPr="00CD7800" w:rsidRDefault="00000000">
      <w:pPr>
        <w:pStyle w:val="Normal1"/>
        <w:numPr>
          <w:ilvl w:val="0"/>
          <w:numId w:val="2"/>
        </w:numPr>
        <w:spacing w:after="0"/>
        <w:ind w:left="720" w:hanging="360"/>
        <w:jc w:val="both"/>
        <w:rPr>
          <w:rFonts w:ascii="Calibri" w:eastAsia="Arimo Regular" w:hAnsi="Calibri" w:cs="Calibri"/>
          <w:color w:val="000000"/>
          <w:sz w:val="22"/>
          <w:lang w:val="es-ES"/>
        </w:rPr>
      </w:pPr>
      <w:r w:rsidRPr="00CD7800">
        <w:rPr>
          <w:rFonts w:ascii="Calibri" w:eastAsia="Arimo Regular" w:hAnsi="Calibri" w:cs="Calibri"/>
          <w:b/>
          <w:color w:val="000000"/>
          <w:sz w:val="22"/>
          <w:lang w:val="es-ES"/>
        </w:rPr>
        <w:t xml:space="preserve">Recomendaciones de acceso basadas en </w:t>
      </w:r>
      <w:r w:rsidRPr="00CD7800">
        <w:rPr>
          <w:rFonts w:ascii="Calibri" w:eastAsia="Arimo Regular" w:hAnsi="Calibri" w:cs="Calibri"/>
          <w:b/>
          <w:color w:val="000000"/>
          <w:sz w:val="22"/>
          <w:shd w:val="clear" w:color="auto" w:fill="FFFFFF"/>
          <w:lang w:val="es-ES"/>
        </w:rPr>
        <w:t>aprendizaje automático</w:t>
      </w:r>
      <w:r w:rsidRPr="00CD7800">
        <w:rPr>
          <w:rFonts w:ascii="Calibri" w:eastAsia="Arimo Regular" w:hAnsi="Calibri" w:cs="Calibri"/>
          <w:b/>
          <w:color w:val="000000"/>
          <w:sz w:val="22"/>
          <w:lang w:val="es-ES"/>
        </w:rPr>
        <w:t xml:space="preserve">: </w:t>
      </w:r>
      <w:r w:rsidRPr="00CD7800">
        <w:rPr>
          <w:rFonts w:ascii="Calibri" w:eastAsia="Arimo Regular" w:hAnsi="Calibri" w:cs="Calibri"/>
          <w:color w:val="000000"/>
          <w:sz w:val="22"/>
          <w:shd w:val="clear" w:color="auto" w:fill="FFFFFF"/>
          <w:lang w:val="es-ES"/>
        </w:rPr>
        <w:t>durante las campañas de aprovisionamiento y revisión de acceso, el aprendizaje automático analiza los patrones de permisos y sugiere ajustes, para implementar el acceso con privilegios mínimos, lo que ayuda a evitar el exceso de derechos.</w:t>
      </w:r>
    </w:p>
    <w:p w14:paraId="2163CCEB" w14:textId="3CAFE51B" w:rsidR="004471D8" w:rsidRPr="00CD7800" w:rsidRDefault="00000000">
      <w:pPr>
        <w:pStyle w:val="Normal1"/>
        <w:spacing w:before="240" w:after="0"/>
        <w:jc w:val="both"/>
        <w:rPr>
          <w:rFonts w:ascii="Calibri" w:eastAsia="Arimo Regular" w:hAnsi="Calibri" w:cs="Calibri"/>
          <w:color w:val="000000"/>
          <w:sz w:val="22"/>
          <w:lang w:val="es-ES"/>
        </w:rPr>
      </w:pPr>
      <w:r w:rsidRPr="00CD7800">
        <w:rPr>
          <w:rFonts w:ascii="Calibri" w:eastAsia="Arimo Regular" w:hAnsi="Calibri" w:cs="Calibri"/>
          <w:color w:val="000000"/>
          <w:sz w:val="22"/>
          <w:lang w:val="es-ES"/>
        </w:rPr>
        <w:t xml:space="preserve">Además, </w:t>
      </w:r>
      <w:proofErr w:type="spellStart"/>
      <w:r w:rsidRPr="00CD7800">
        <w:rPr>
          <w:rFonts w:ascii="Calibri" w:eastAsia="Arimo Regular" w:hAnsi="Calibri" w:cs="Calibri"/>
          <w:color w:val="000000"/>
          <w:sz w:val="22"/>
          <w:lang w:val="es-ES"/>
        </w:rPr>
        <w:t>ManageEngine</w:t>
      </w:r>
      <w:proofErr w:type="spellEnd"/>
      <w:r w:rsidRPr="00CD7800">
        <w:rPr>
          <w:rFonts w:ascii="Calibri" w:eastAsia="Arimo Regular" w:hAnsi="Calibri" w:cs="Calibri"/>
          <w:color w:val="000000"/>
          <w:sz w:val="22"/>
          <w:lang w:val="es-ES"/>
        </w:rPr>
        <w:t xml:space="preserve"> ha mejorado el módulo de certificación de acceso de AD360, que ahora incluye derechos ampliados para una cobertura de revisión integral.</w:t>
      </w:r>
      <w:r w:rsidR="00CD7800">
        <w:rPr>
          <w:rFonts w:ascii="Calibri" w:eastAsia="Arimo Regular" w:hAnsi="Calibri" w:cs="Calibri"/>
          <w:color w:val="000000"/>
          <w:sz w:val="22"/>
          <w:lang w:val="es-ES"/>
        </w:rPr>
        <w:t xml:space="preserve"> </w:t>
      </w:r>
      <w:r w:rsidRPr="00CD7800">
        <w:rPr>
          <w:rFonts w:ascii="Calibri" w:eastAsia="Arimo Regular" w:hAnsi="Calibri" w:cs="Calibri"/>
          <w:color w:val="000000"/>
          <w:sz w:val="22"/>
          <w:lang w:val="es-ES"/>
        </w:rPr>
        <w:t xml:space="preserve">Adicionalmente, las capacidades de evaluación de riesgos cuentan con nuevos indicadores para mejorar el monitoreo de riesgos de identidad en entornos de AD y Microsoft 365. Estas mejoras están diseñadas para optimizar los informes de cumplimiento y fortalecer la gobernanza de acceso en toda la empresa. </w:t>
      </w:r>
    </w:p>
    <w:p w14:paraId="0CB927D2" w14:textId="77777777" w:rsidR="004471D8" w:rsidRPr="00CD7800" w:rsidRDefault="00000000">
      <w:pPr>
        <w:pStyle w:val="Normal1"/>
        <w:spacing w:before="240" w:after="0"/>
        <w:jc w:val="both"/>
        <w:rPr>
          <w:rFonts w:ascii="Calibri" w:eastAsia="Arimo Regular" w:hAnsi="Calibri" w:cs="Calibri"/>
          <w:color w:val="000000"/>
          <w:sz w:val="22"/>
          <w:lang w:val="es-ES"/>
        </w:rPr>
      </w:pPr>
      <w:r w:rsidRPr="00CD7800">
        <w:rPr>
          <w:rFonts w:ascii="Calibri" w:eastAsia="Arimo Regular" w:hAnsi="Calibri" w:cs="Calibri"/>
          <w:color w:val="000000"/>
          <w:sz w:val="22"/>
          <w:lang w:val="es-ES"/>
        </w:rPr>
        <w:t xml:space="preserve">Las nuevas capacidades son compatibles con NIST SP 800-207 en la arquitectura </w:t>
      </w:r>
      <w:r w:rsidRPr="00CD7800">
        <w:rPr>
          <w:rFonts w:ascii="Calibri" w:eastAsia="Arimo Regular" w:hAnsi="Calibri" w:cs="Calibri"/>
          <w:i/>
          <w:color w:val="000000"/>
          <w:sz w:val="22"/>
          <w:lang w:val="es-ES"/>
        </w:rPr>
        <w:t>Zero Trust</w:t>
      </w:r>
      <w:r w:rsidRPr="00CD7800">
        <w:rPr>
          <w:rFonts w:ascii="Calibri" w:eastAsia="Arimo Regular" w:hAnsi="Calibri" w:cs="Calibri"/>
          <w:color w:val="000000"/>
          <w:sz w:val="22"/>
          <w:lang w:val="es-ES"/>
        </w:rPr>
        <w:t>, se alinean con el requisito 8 de PCI DSS versión 4.0 y facilitan los controles que exigen las normativas SOX, HIPAA (USA) y GDPR (Europa).</w:t>
      </w:r>
    </w:p>
    <w:p w14:paraId="36394B9A" w14:textId="77777777" w:rsidR="004471D8" w:rsidRPr="00CD7800" w:rsidRDefault="004471D8">
      <w:pPr>
        <w:pStyle w:val="Normal1"/>
        <w:spacing w:before="240" w:after="0"/>
        <w:jc w:val="both"/>
        <w:rPr>
          <w:rFonts w:ascii="Calibri" w:eastAsia="Arimo Regular" w:hAnsi="Calibri" w:cs="Calibri"/>
          <w:color w:val="000000"/>
          <w:sz w:val="22"/>
          <w:lang w:val="es-ES"/>
        </w:rPr>
      </w:pPr>
    </w:p>
    <w:p w14:paraId="4F162225" w14:textId="77777777" w:rsidR="004471D8" w:rsidRPr="00CD7800" w:rsidRDefault="00000000">
      <w:pPr>
        <w:pStyle w:val="Normal1"/>
        <w:spacing w:line="276" w:lineRule="auto"/>
        <w:jc w:val="both"/>
        <w:rPr>
          <w:rFonts w:ascii="Calibri" w:eastAsia="Calibri" w:hAnsi="Calibri" w:cs="Calibri"/>
          <w:b/>
          <w:color w:val="000000"/>
          <w:lang w:val="es-ES"/>
        </w:rPr>
      </w:pPr>
      <w:r w:rsidRPr="00CD7800">
        <w:rPr>
          <w:rFonts w:ascii="Calibri" w:eastAsia="Calibri" w:hAnsi="Calibri" w:cs="Calibri"/>
          <w:b/>
          <w:color w:val="000000"/>
          <w:lang w:val="es-ES"/>
        </w:rPr>
        <w:t>Acerca de AD360</w:t>
      </w:r>
    </w:p>
    <w:p w14:paraId="1F28BF0F" w14:textId="77777777" w:rsidR="004471D8" w:rsidRPr="00CD7800" w:rsidRDefault="00000000">
      <w:pPr>
        <w:pStyle w:val="Normal1"/>
        <w:spacing w:before="240"/>
        <w:jc w:val="both"/>
        <w:rPr>
          <w:rFonts w:ascii="Calibri" w:eastAsia="Arimo Regular" w:hAnsi="Calibri" w:cs="Calibri"/>
          <w:color w:val="000000"/>
          <w:lang w:val="es-ES"/>
        </w:rPr>
      </w:pPr>
      <w:proofErr w:type="spellStart"/>
      <w:r w:rsidRPr="00CD7800">
        <w:rPr>
          <w:rFonts w:ascii="Calibri" w:eastAsia="Arimo Regular" w:hAnsi="Calibri" w:cs="Calibri"/>
          <w:color w:val="000000"/>
          <w:sz w:val="20"/>
          <w:lang w:val="es-ES"/>
        </w:rPr>
        <w:t>ManageEngine</w:t>
      </w:r>
      <w:proofErr w:type="spellEnd"/>
      <w:r w:rsidRPr="00CD7800">
        <w:rPr>
          <w:rFonts w:ascii="Calibri" w:eastAsia="Arimo Regular" w:hAnsi="Calibri" w:cs="Calibri"/>
          <w:color w:val="000000"/>
          <w:sz w:val="20"/>
          <w:lang w:val="es-ES"/>
        </w:rPr>
        <w:t xml:space="preserve"> AD360 es una plataforma de identidad unificada que conecta a la perfección a las personas, la tecnología y las experiencias, al tiempo que brinda a las empresas visibilidad y control completos sobre su infraestructura de identidad. Ofrece una gestión automatizada del ciclo de vida, SSO seguro, MFA adaptativo, </w:t>
      </w:r>
      <w:r w:rsidRPr="00CD7800">
        <w:rPr>
          <w:rFonts w:ascii="Calibri" w:eastAsia="Arimo Regular" w:hAnsi="Calibri" w:cs="Calibri"/>
          <w:color w:val="000000"/>
          <w:sz w:val="20"/>
          <w:lang w:val="es-ES"/>
        </w:rPr>
        <w:lastRenderedPageBreak/>
        <w:t xml:space="preserve">gobernanza, auditoría, cumplimiento y análisis de identidad basados en riesgos, todo desde una única consola intuitiva. Con amplias integraciones listas para usar y soporte para conectores personalizados, AD360 se integra fácilmente en los ecosistemas de TI existentes para mejorar la seguridad y optimizar las operaciones de identidad. Con la confianza de empresas líderes en atención médica, finanzas, educación y gobierno, AD360 simplifica la gestión de identidades, fortalece la seguridad y garantiza el cumplimiento de los estándares regulatorios en evolución. Para obtener más información, visite </w:t>
      </w:r>
      <w:hyperlink r:id="rId12" w:history="1">
        <w:r w:rsidRPr="00CD7800">
          <w:rPr>
            <w:rFonts w:ascii="Calibri" w:eastAsia="Calibri" w:hAnsi="Calibri" w:cs="Calibri"/>
            <w:color w:val="CC9900"/>
            <w:sz w:val="20"/>
            <w:u w:val="single" w:color="0000FF"/>
            <w:lang w:val="es-ES"/>
          </w:rPr>
          <w:t>https://www.manageengine.com/active-directory-360/</w:t>
        </w:r>
      </w:hyperlink>
      <w:r w:rsidRPr="00CD7800">
        <w:rPr>
          <w:rFonts w:ascii="Calibri" w:eastAsia="Calibri" w:hAnsi="Calibri" w:cs="Calibri"/>
          <w:color w:val="CC9900"/>
          <w:sz w:val="20"/>
          <w:u w:val="single"/>
          <w:lang w:val="es-ES"/>
        </w:rPr>
        <w:t>.</w:t>
      </w:r>
    </w:p>
    <w:p w14:paraId="79365F37" w14:textId="77777777" w:rsidR="004471D8" w:rsidRPr="00CD7800" w:rsidRDefault="00000000">
      <w:pPr>
        <w:pStyle w:val="Normal1"/>
        <w:spacing w:line="276" w:lineRule="auto"/>
        <w:jc w:val="both"/>
        <w:rPr>
          <w:rFonts w:ascii="Calibri" w:eastAsia="Calibri" w:hAnsi="Calibri" w:cs="Calibri"/>
          <w:b/>
          <w:color w:val="000000"/>
          <w:lang w:val="es-ES"/>
        </w:rPr>
      </w:pPr>
      <w:r w:rsidRPr="00CD7800">
        <w:rPr>
          <w:rFonts w:ascii="Calibri" w:eastAsia="Calibri" w:hAnsi="Calibri" w:cs="Calibri"/>
          <w:b/>
          <w:color w:val="000000"/>
          <w:lang w:val="es-ES"/>
        </w:rPr>
        <w:t xml:space="preserve">Acerca de </w:t>
      </w:r>
      <w:proofErr w:type="spellStart"/>
      <w:r w:rsidRPr="00CD7800">
        <w:rPr>
          <w:rFonts w:ascii="Calibri" w:eastAsia="Calibri" w:hAnsi="Calibri" w:cs="Calibri"/>
          <w:b/>
          <w:color w:val="000000"/>
          <w:lang w:val="es-ES"/>
        </w:rPr>
        <w:t>ManageEngine</w:t>
      </w:r>
      <w:proofErr w:type="spellEnd"/>
    </w:p>
    <w:p w14:paraId="35EFA6BC" w14:textId="77777777" w:rsidR="004471D8" w:rsidRPr="00CD7800" w:rsidRDefault="00000000">
      <w:pPr>
        <w:pStyle w:val="Normal1"/>
        <w:spacing w:line="276" w:lineRule="auto"/>
        <w:jc w:val="both"/>
        <w:rPr>
          <w:rFonts w:ascii="Calibri" w:eastAsia="Calibri" w:hAnsi="Calibri" w:cs="Calibri"/>
          <w:b/>
          <w:color w:val="000000"/>
          <w:lang w:val="es-ES"/>
        </w:rPr>
      </w:pPr>
      <w:proofErr w:type="spellStart"/>
      <w:r w:rsidRPr="00CD7800">
        <w:rPr>
          <w:rFonts w:ascii="Calibri" w:eastAsia="Calibri" w:hAnsi="Calibri" w:cs="Calibri"/>
          <w:color w:val="000000"/>
          <w:sz w:val="20"/>
          <w:lang w:val="es-ES"/>
        </w:rPr>
        <w:t>ManageEngine</w:t>
      </w:r>
      <w:proofErr w:type="spellEnd"/>
      <w:r w:rsidRPr="00CD7800">
        <w:rPr>
          <w:rFonts w:ascii="Calibri" w:eastAsia="Calibri" w:hAnsi="Calibri" w:cs="Calibri"/>
          <w:color w:val="000000"/>
          <w:sz w:val="20"/>
          <w:lang w:val="es-ES"/>
        </w:rPr>
        <w:t xml:space="preserve">, una división de Zoho </w:t>
      </w:r>
      <w:proofErr w:type="spellStart"/>
      <w:r w:rsidRPr="00CD7800">
        <w:rPr>
          <w:rFonts w:ascii="Calibri" w:eastAsia="Calibri" w:hAnsi="Calibri" w:cs="Calibri"/>
          <w:color w:val="000000"/>
          <w:sz w:val="20"/>
          <w:lang w:val="es-ES"/>
        </w:rPr>
        <w:t>Corporation</w:t>
      </w:r>
      <w:proofErr w:type="spellEnd"/>
      <w:r w:rsidRPr="00CD7800">
        <w:rPr>
          <w:rFonts w:ascii="Calibri" w:eastAsia="Calibri" w:hAnsi="Calibri" w:cs="Calibri"/>
          <w:color w:val="000000"/>
          <w:sz w:val="20"/>
          <w:lang w:val="es-ES"/>
        </w:rPr>
        <w:t xml:space="preserve">, es un proveedor líder de soluciones de gestión de TI para organizaciones de todo el mundo. Su plataforma potente, flexible e impulsada por IA ayuda a las empresas a operar de manera eficiente, ya sea administrando TI internamente o brindando servicios como proveedor de servicios administrados. Para obtener más información, visite </w:t>
      </w:r>
      <w:hyperlink r:id="rId13" w:history="1">
        <w:r w:rsidRPr="00CD7800">
          <w:rPr>
            <w:rFonts w:ascii="Calibri" w:eastAsia="Calibri" w:hAnsi="Calibri" w:cs="Calibri"/>
            <w:color w:val="CC9900"/>
            <w:sz w:val="20"/>
            <w:u w:val="single" w:color="0000FF"/>
            <w:lang w:val="es-ES"/>
          </w:rPr>
          <w:t>www.manageengine.com</w:t>
        </w:r>
      </w:hyperlink>
      <w:r w:rsidRPr="00CD7800">
        <w:rPr>
          <w:rFonts w:ascii="Calibri" w:eastAsia="Calibri" w:hAnsi="Calibri" w:cs="Calibri"/>
          <w:color w:val="000000"/>
          <w:sz w:val="20"/>
          <w:lang w:val="es-ES"/>
        </w:rPr>
        <w:t xml:space="preserve"> </w:t>
      </w:r>
    </w:p>
    <w:p w14:paraId="45DC478C" w14:textId="77777777" w:rsidR="004471D8" w:rsidRPr="00CD7800" w:rsidRDefault="00000000">
      <w:pPr>
        <w:pStyle w:val="Normal1"/>
        <w:spacing w:line="276" w:lineRule="auto"/>
        <w:jc w:val="both"/>
        <w:rPr>
          <w:rFonts w:ascii="Calibri" w:eastAsia="Calibri" w:hAnsi="Calibri" w:cs="Calibri"/>
          <w:b/>
          <w:color w:val="000000"/>
          <w:lang w:val="es-ES"/>
        </w:rPr>
      </w:pPr>
      <w:r w:rsidRPr="00CD7800">
        <w:rPr>
          <w:rFonts w:ascii="Calibri" w:eastAsia="Calibri" w:hAnsi="Calibri" w:cs="Calibri"/>
          <w:b/>
          <w:color w:val="000000"/>
          <w:lang w:val="es-ES"/>
        </w:rPr>
        <w:t>Contacto para la prensa:</w:t>
      </w:r>
    </w:p>
    <w:p w14:paraId="2EB1AA1D" w14:textId="77777777" w:rsidR="004471D8" w:rsidRPr="00CD7800" w:rsidRDefault="00000000">
      <w:pPr>
        <w:pStyle w:val="Normal1"/>
        <w:spacing w:line="276" w:lineRule="auto"/>
        <w:jc w:val="both"/>
        <w:rPr>
          <w:rFonts w:ascii="Calibri" w:eastAsia="Calibri" w:hAnsi="Calibri" w:cs="Calibri"/>
          <w:color w:val="000000"/>
          <w:lang w:val="es-ES"/>
        </w:rPr>
      </w:pPr>
      <w:r w:rsidRPr="00CD7800">
        <w:rPr>
          <w:rFonts w:ascii="Calibri" w:eastAsia="Calibri" w:hAnsi="Calibri" w:cs="Calibri"/>
          <w:color w:val="000000"/>
          <w:lang w:val="es-ES"/>
        </w:rPr>
        <w:t>Juan del Castillo</w:t>
      </w:r>
    </w:p>
    <w:p w14:paraId="70D7F5B8" w14:textId="77777777" w:rsidR="004471D8" w:rsidRPr="00CD7800" w:rsidRDefault="00000000">
      <w:pPr>
        <w:pStyle w:val="Normal1"/>
        <w:spacing w:line="276" w:lineRule="auto"/>
        <w:jc w:val="both"/>
        <w:rPr>
          <w:rFonts w:ascii="Calibri" w:eastAsia="Calibri" w:hAnsi="Calibri" w:cs="Calibri"/>
          <w:color w:val="000000"/>
          <w:lang w:val="es-ES"/>
        </w:rPr>
      </w:pPr>
      <w:hyperlink r:id="rId14" w:history="1">
        <w:r w:rsidRPr="00CD7800">
          <w:rPr>
            <w:rFonts w:ascii="Calibri" w:eastAsia="Calibri" w:hAnsi="Calibri" w:cs="Calibri"/>
            <w:color w:val="CC9900"/>
            <w:u w:val="single" w:color="0000FF"/>
            <w:lang w:val="es-ES"/>
          </w:rPr>
          <w:t>juan@121pr.com</w:t>
        </w:r>
      </w:hyperlink>
      <w:r w:rsidRPr="00CD7800">
        <w:rPr>
          <w:rFonts w:ascii="Calibri" w:eastAsia="Calibri" w:hAnsi="Calibri" w:cs="Calibri"/>
          <w:color w:val="000000"/>
          <w:lang w:val="es-ES"/>
        </w:rPr>
        <w:t xml:space="preserve"> </w:t>
      </w:r>
    </w:p>
    <w:p w14:paraId="27FA9639" w14:textId="77777777" w:rsidR="004471D8" w:rsidRPr="00CD7800" w:rsidRDefault="00000000">
      <w:pPr>
        <w:pStyle w:val="Normal1"/>
        <w:spacing w:line="276" w:lineRule="auto"/>
        <w:jc w:val="both"/>
        <w:rPr>
          <w:rFonts w:ascii="Calibri" w:eastAsia="Calibri" w:hAnsi="Calibri" w:cs="Calibri"/>
          <w:color w:val="000000"/>
        </w:rPr>
      </w:pPr>
      <w:proofErr w:type="spellStart"/>
      <w:r w:rsidRPr="00CD7800">
        <w:rPr>
          <w:rFonts w:ascii="Calibri" w:eastAsia="Calibri" w:hAnsi="Calibri" w:cs="Calibri"/>
          <w:color w:val="000000"/>
        </w:rPr>
        <w:t>Telf</w:t>
      </w:r>
      <w:proofErr w:type="spellEnd"/>
      <w:r w:rsidRPr="00CD7800">
        <w:rPr>
          <w:rFonts w:ascii="Calibri" w:eastAsia="Calibri" w:hAnsi="Calibri" w:cs="Calibri"/>
          <w:color w:val="000000"/>
        </w:rPr>
        <w:t>: 647 583 355</w:t>
      </w:r>
    </w:p>
    <w:sectPr w:rsidR="004471D8" w:rsidRPr="00CD7800">
      <w:headerReference w:type="default" r:id="rId15"/>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3A9E5" w14:textId="77777777" w:rsidR="005C5F32" w:rsidRDefault="005C5F32">
      <w:pPr>
        <w:spacing w:after="0" w:line="240" w:lineRule="auto"/>
      </w:pPr>
      <w:r>
        <w:separator/>
      </w:r>
    </w:p>
  </w:endnote>
  <w:endnote w:type="continuationSeparator" w:id="0">
    <w:p w14:paraId="37DDE378" w14:textId="77777777" w:rsidR="005C5F32" w:rsidRDefault="005C5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C1ADB20-6126-48EA-9833-128B75DF6FC1}"/>
    <w:embedBold r:id="rId2" w:fontKey="{F2044E86-EFFB-4857-B8DF-D0DD23D1F639}"/>
    <w:embedItalic r:id="rId3" w:fontKey="{6952F402-1214-4061-818D-B80D4954AE4E}"/>
    <w:embedBoldItalic r:id="rId4" w:fontKey="{2E66D40D-B2E6-4D21-9DC7-E8F1E51CE77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54F94E3-7FE0-47C1-A0F6-14BFA9C41E95}"/>
    <w:embedBold r:id="rId6" w:fontKey="{913758DE-1577-4BE5-9A4D-2CF2CAD0D656}"/>
    <w:embedItalic r:id="rId7" w:fontKey="{6486A4EA-FBE3-4A98-AFA4-C779FB764B54}"/>
  </w:font>
  <w:font w:name="Arimo Regular">
    <w:charset w:val="00"/>
    <w:family w:val="auto"/>
    <w:pitch w:val="default"/>
    <w:embedRegular r:id="rId8" w:fontKey="{D836F389-7A5F-449D-816D-88C455D0E562}"/>
    <w:embedBold r:id="rId9" w:fontKey="{7A34FCE8-DACA-4088-8FF8-F0E8812C9E3D}"/>
    <w:embedItalic r:id="rId10" w:fontKey="{DF1F1C5A-6F4B-48E8-B7E8-99A4F25B66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1131" w14:textId="77777777" w:rsidR="004471D8" w:rsidRDefault="004471D8">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A05AD" w14:textId="77777777" w:rsidR="005C5F32" w:rsidRDefault="005C5F32">
      <w:pPr>
        <w:spacing w:after="0" w:line="240" w:lineRule="auto"/>
      </w:pPr>
      <w:r>
        <w:separator/>
      </w:r>
    </w:p>
  </w:footnote>
  <w:footnote w:type="continuationSeparator" w:id="0">
    <w:p w14:paraId="5916E637" w14:textId="77777777" w:rsidR="005C5F32" w:rsidRDefault="005C5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F0BB" w14:textId="77777777" w:rsidR="004471D8" w:rsidRDefault="004471D8">
    <w:pPr>
      <w:pStyle w:val="h68761336"/>
    </w:pPr>
  </w:p>
  <w:p w14:paraId="68C5FBD7" w14:textId="77777777" w:rsidR="004471D8" w:rsidRDefault="00000000">
    <w:pPr>
      <w:pStyle w:val="h68761336"/>
    </w:pPr>
    <w:r>
      <w:rPr>
        <w:noProof/>
      </w:rPr>
      <w:drawing>
        <wp:anchor distT="0" distB="0" distL="114300" distR="114300" simplePos="0" relativeHeight="251658240" behindDoc="1" locked="0" layoutInCell="1" allowOverlap="1" wp14:anchorId="1A0A4EFF" wp14:editId="188549EE">
          <wp:simplePos x="0" y="0"/>
          <wp:positionH relativeFrom="column">
            <wp:posOffset>4427220</wp:posOffset>
          </wp:positionH>
          <wp:positionV relativeFrom="paragraph">
            <wp:posOffset>2857</wp:posOffset>
          </wp:positionV>
          <wp:extent cx="2133600" cy="381000"/>
          <wp:effectExtent l="0" t="0" r="0" b="0"/>
          <wp:wrapNone/>
          <wp:docPr id="434666432" name="Avi"/>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1"/>
                  <a:srcRect/>
                  <a:stretch/>
                </pic:blipFill>
                <pic:spPr>
                  <a:xfrm>
                    <a:off x="0" y="0"/>
                    <a:ext cx="2133600" cy="381000"/>
                  </a:xfrm>
                  <a:prstGeom prst="rect">
                    <a:avLst/>
                  </a:prstGeom>
                </pic:spPr>
              </pic:pic>
            </a:graphicData>
          </a:graphic>
        </wp:anchor>
      </w:drawing>
    </w:r>
  </w:p>
  <w:p w14:paraId="0E5B5301" w14:textId="77777777" w:rsidR="004471D8" w:rsidRDefault="004471D8">
    <w:pPr>
      <w:pStyle w:val="h68761336"/>
    </w:pPr>
  </w:p>
  <w:p w14:paraId="608C166B" w14:textId="77777777" w:rsidR="004471D8" w:rsidRDefault="004471D8">
    <w:pPr>
      <w:pStyle w:val="h68761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C89"/>
    <w:multiLevelType w:val="multilevel"/>
    <w:tmpl w:val="A9828B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4394016"/>
    <w:multiLevelType w:val="multilevel"/>
    <w:tmpl w:val="AF62DEF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 w15:restartNumberingAfterBreak="0">
    <w:nsid w:val="07DE013F"/>
    <w:multiLevelType w:val="multilevel"/>
    <w:tmpl w:val="EA7C529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D744B74"/>
    <w:multiLevelType w:val="multilevel"/>
    <w:tmpl w:val="C5A01A0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4" w15:restartNumberingAfterBreak="0">
    <w:nsid w:val="0DC02B33"/>
    <w:multiLevelType w:val="multilevel"/>
    <w:tmpl w:val="E77E724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FC47818"/>
    <w:multiLevelType w:val="multilevel"/>
    <w:tmpl w:val="1FF43C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15C61348"/>
    <w:multiLevelType w:val="multilevel"/>
    <w:tmpl w:val="CD54C36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229269B2"/>
    <w:multiLevelType w:val="multilevel"/>
    <w:tmpl w:val="5B7C0D4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36B56A2E"/>
    <w:multiLevelType w:val="multilevel"/>
    <w:tmpl w:val="754444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37417EF3"/>
    <w:multiLevelType w:val="multilevel"/>
    <w:tmpl w:val="150CB7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37E63D7C"/>
    <w:multiLevelType w:val="multilevel"/>
    <w:tmpl w:val="FD7C3BE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1" w15:restartNumberingAfterBreak="0">
    <w:nsid w:val="3AAC277E"/>
    <w:multiLevelType w:val="multilevel"/>
    <w:tmpl w:val="AC72FC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3B196FB6"/>
    <w:multiLevelType w:val="multilevel"/>
    <w:tmpl w:val="F61C38D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3CCA4A09"/>
    <w:multiLevelType w:val="multilevel"/>
    <w:tmpl w:val="0308BF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444439DC"/>
    <w:multiLevelType w:val="multilevel"/>
    <w:tmpl w:val="B84826E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5" w15:restartNumberingAfterBreak="0">
    <w:nsid w:val="4DDE1207"/>
    <w:multiLevelType w:val="multilevel"/>
    <w:tmpl w:val="E984EEE0"/>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6" w15:restartNumberingAfterBreak="0">
    <w:nsid w:val="4DEB6AEC"/>
    <w:multiLevelType w:val="multilevel"/>
    <w:tmpl w:val="44FCD5E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5B96637A"/>
    <w:multiLevelType w:val="multilevel"/>
    <w:tmpl w:val="2C5AF4B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8" w15:restartNumberingAfterBreak="0">
    <w:nsid w:val="619856AD"/>
    <w:multiLevelType w:val="multilevel"/>
    <w:tmpl w:val="EADA663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666D2154"/>
    <w:multiLevelType w:val="multilevel"/>
    <w:tmpl w:val="7C508DC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6BC708CF"/>
    <w:multiLevelType w:val="multilevel"/>
    <w:tmpl w:val="474A3A70"/>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1" w15:restartNumberingAfterBreak="0">
    <w:nsid w:val="71D25F0F"/>
    <w:multiLevelType w:val="multilevel"/>
    <w:tmpl w:val="38905C2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2" w15:restartNumberingAfterBreak="0">
    <w:nsid w:val="72445AFE"/>
    <w:multiLevelType w:val="multilevel"/>
    <w:tmpl w:val="FC2E0E7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73013278"/>
    <w:multiLevelType w:val="multilevel"/>
    <w:tmpl w:val="C89CA3DE"/>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4" w15:restartNumberingAfterBreak="0">
    <w:nsid w:val="76F272FA"/>
    <w:multiLevelType w:val="multilevel"/>
    <w:tmpl w:val="4AAABAF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5" w15:restartNumberingAfterBreak="0">
    <w:nsid w:val="7C4959F4"/>
    <w:multiLevelType w:val="multilevel"/>
    <w:tmpl w:val="712284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16cid:durableId="1566649885">
    <w:abstractNumId w:val="15"/>
  </w:num>
  <w:num w:numId="2" w16cid:durableId="1192183223">
    <w:abstractNumId w:val="19"/>
  </w:num>
  <w:num w:numId="3" w16cid:durableId="1745184836">
    <w:abstractNumId w:val="18"/>
  </w:num>
  <w:num w:numId="4" w16cid:durableId="840509241">
    <w:abstractNumId w:val="4"/>
  </w:num>
  <w:num w:numId="5" w16cid:durableId="1524902513">
    <w:abstractNumId w:val="16"/>
  </w:num>
  <w:num w:numId="6" w16cid:durableId="969088029">
    <w:abstractNumId w:val="9"/>
  </w:num>
  <w:num w:numId="7" w16cid:durableId="427432367">
    <w:abstractNumId w:val="17"/>
  </w:num>
  <w:num w:numId="8" w16cid:durableId="2146269865">
    <w:abstractNumId w:val="20"/>
  </w:num>
  <w:num w:numId="9" w16cid:durableId="30497804">
    <w:abstractNumId w:val="23"/>
  </w:num>
  <w:num w:numId="10" w16cid:durableId="7215701">
    <w:abstractNumId w:val="0"/>
  </w:num>
  <w:num w:numId="11" w16cid:durableId="1640106502">
    <w:abstractNumId w:val="21"/>
  </w:num>
  <w:num w:numId="12" w16cid:durableId="1761020015">
    <w:abstractNumId w:val="3"/>
  </w:num>
  <w:num w:numId="13" w16cid:durableId="545988870">
    <w:abstractNumId w:val="2"/>
  </w:num>
  <w:num w:numId="14" w16cid:durableId="1619218940">
    <w:abstractNumId w:val="22"/>
  </w:num>
  <w:num w:numId="15" w16cid:durableId="1085145628">
    <w:abstractNumId w:val="5"/>
  </w:num>
  <w:num w:numId="16" w16cid:durableId="1068959448">
    <w:abstractNumId w:val="12"/>
  </w:num>
  <w:num w:numId="17" w16cid:durableId="1969506237">
    <w:abstractNumId w:val="8"/>
  </w:num>
  <w:num w:numId="18" w16cid:durableId="1698846676">
    <w:abstractNumId w:val="11"/>
  </w:num>
  <w:num w:numId="19" w16cid:durableId="61568778">
    <w:abstractNumId w:val="13"/>
  </w:num>
  <w:num w:numId="20" w16cid:durableId="1034498001">
    <w:abstractNumId w:val="6"/>
  </w:num>
  <w:num w:numId="21" w16cid:durableId="1305164456">
    <w:abstractNumId w:val="24"/>
  </w:num>
  <w:num w:numId="22" w16cid:durableId="840780560">
    <w:abstractNumId w:val="10"/>
  </w:num>
  <w:num w:numId="23" w16cid:durableId="922178652">
    <w:abstractNumId w:val="1"/>
  </w:num>
  <w:num w:numId="24" w16cid:durableId="1475414515">
    <w:abstractNumId w:val="14"/>
  </w:num>
  <w:num w:numId="25" w16cid:durableId="697200883">
    <w:abstractNumId w:val="7"/>
  </w:num>
  <w:num w:numId="26" w16cid:durableId="18650505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1D8"/>
    <w:rsid w:val="000E292F"/>
    <w:rsid w:val="004471D8"/>
    <w:rsid w:val="005C5F32"/>
    <w:rsid w:val="00CD7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7C52"/>
  <w15:docId w15:val="{D00AA035-4B6B-4118-BA9C-6282BFFC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000000" w:themeColor="dark1"/>
        <w:sz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uiPriority w:val="1"/>
    <w:unhideWhenUsed/>
    <w:qFormat/>
  </w:style>
  <w:style w:type="paragraph" w:customStyle="1" w:styleId="Ttulo11">
    <w:name w:val="Título 11"/>
    <w:basedOn w:val="Normal1"/>
    <w:next w:val="Normal1"/>
    <w:uiPriority w:val="1"/>
    <w:unhideWhenUsed/>
    <w:qFormat/>
    <w:pPr>
      <w:spacing w:after="200" w:line="240" w:lineRule="auto"/>
    </w:pPr>
    <w:rPr>
      <w:b/>
      <w:color w:val="0D0D0D" w:themeColor="dark1" w:themeTint="F2"/>
      <w:sz w:val="48"/>
    </w:rPr>
  </w:style>
  <w:style w:type="paragraph" w:customStyle="1" w:styleId="Ttulo21">
    <w:name w:val="Título 21"/>
    <w:basedOn w:val="Normal1"/>
    <w:next w:val="Normal1"/>
    <w:link w:val="Heading2Char"/>
    <w:uiPriority w:val="1"/>
    <w:unhideWhenUsed/>
    <w:qFormat/>
    <w:pPr>
      <w:spacing w:after="160"/>
    </w:pPr>
    <w:rPr>
      <w:b/>
      <w:sz w:val="36"/>
    </w:rPr>
  </w:style>
  <w:style w:type="paragraph" w:customStyle="1" w:styleId="h56147253">
    <w:name w:val="h56147253"/>
    <w:uiPriority w:val="1"/>
    <w:unhideWhenUsed/>
    <w:qFormat/>
    <w:pPr>
      <w:spacing w:after="0" w:line="240" w:lineRule="auto"/>
    </w:pPr>
  </w:style>
  <w:style w:type="paragraph" w:customStyle="1" w:styleId="Ttulo31">
    <w:name w:val="Título 31"/>
    <w:basedOn w:val="Normal1"/>
    <w:next w:val="Normal1"/>
    <w:link w:val="Heading3Char"/>
    <w:uiPriority w:val="1"/>
    <w:unhideWhenUsed/>
    <w:qFormat/>
    <w:pPr>
      <w:spacing w:after="160"/>
    </w:pPr>
    <w:rPr>
      <w:b/>
      <w:sz w:val="32"/>
    </w:rPr>
  </w:style>
  <w:style w:type="paragraph" w:customStyle="1" w:styleId="Ttulo41">
    <w:name w:val="Título 41"/>
    <w:basedOn w:val="Normal1"/>
    <w:next w:val="Normal1"/>
    <w:link w:val="Heading4Char"/>
    <w:uiPriority w:val="1"/>
    <w:unhideWhenUsed/>
    <w:qFormat/>
    <w:pPr>
      <w:spacing w:after="160"/>
    </w:pPr>
    <w:rPr>
      <w:b/>
      <w:i/>
      <w:sz w:val="28"/>
    </w:rPr>
  </w:style>
  <w:style w:type="paragraph" w:customStyle="1" w:styleId="Ttulo51">
    <w:name w:val="Título 51"/>
    <w:basedOn w:val="Normal1"/>
    <w:next w:val="Normal1"/>
    <w:link w:val="Heading5Char"/>
    <w:uiPriority w:val="1"/>
    <w:unhideWhenUsed/>
    <w:qFormat/>
    <w:pPr>
      <w:pBdr>
        <w:top w:val="none" w:sz="0" w:space="0" w:color="000000"/>
        <w:left w:val="none" w:sz="0" w:space="0" w:color="000000"/>
        <w:bottom w:val="none" w:sz="0" w:space="0" w:color="000000"/>
        <w:right w:val="none" w:sz="0" w:space="0" w:color="000000"/>
      </w:pBdr>
      <w:shd w:val="clear" w:color="auto" w:fill="404040"/>
      <w:spacing w:after="160" w:line="312" w:lineRule="auto"/>
    </w:pPr>
    <w:rPr>
      <w:color w:val="FFFFFF" w:themeColor="light1"/>
    </w:rPr>
  </w:style>
  <w:style w:type="paragraph" w:customStyle="1" w:styleId="Ttulo61">
    <w:name w:val="Título 61"/>
    <w:basedOn w:val="Normal1"/>
    <w:next w:val="Normal1"/>
    <w:link w:val="Heading6Char"/>
    <w:uiPriority w:val="1"/>
    <w:unhideWhenUsed/>
    <w:qFormat/>
    <w:pPr>
      <w:spacing w:after="120"/>
    </w:pPr>
    <w:rPr>
      <w:i/>
      <w:sz w:val="22"/>
      <w:u w:val="single"/>
    </w:rPr>
  </w:style>
  <w:style w:type="paragraph" w:customStyle="1" w:styleId="Ttulo71">
    <w:name w:val="Título 71"/>
    <w:basedOn w:val="Normal1"/>
    <w:next w:val="Normal1"/>
    <w:link w:val="Heading7Char"/>
    <w:uiPriority w:val="1"/>
    <w:unhideWhenUsed/>
    <w:qFormat/>
    <w:pPr>
      <w:spacing w:before="40"/>
    </w:pPr>
    <w:rPr>
      <w:i/>
      <w:color w:val="13397E" w:themeColor="accent1" w:themeShade="7F"/>
      <w:sz w:val="20"/>
    </w:rPr>
  </w:style>
  <w:style w:type="paragraph" w:customStyle="1" w:styleId="Ttulo81">
    <w:name w:val="Título 81"/>
    <w:basedOn w:val="Normal1"/>
    <w:next w:val="Normal1"/>
    <w:link w:val="Heading8Char"/>
    <w:uiPriority w:val="1"/>
    <w:unhideWhenUsed/>
    <w:qFormat/>
    <w:pPr>
      <w:spacing w:before="40"/>
    </w:pPr>
    <w:rPr>
      <w:b/>
      <w:color w:val="26543D" w:themeColor="dark2"/>
      <w:sz w:val="20"/>
    </w:rPr>
  </w:style>
  <w:style w:type="paragraph" w:customStyle="1" w:styleId="Ttulo91">
    <w:name w:val="Título 91"/>
    <w:basedOn w:val="Normal1"/>
    <w:next w:val="Normal1"/>
    <w:link w:val="Heading9Char"/>
    <w:uiPriority w:val="1"/>
    <w:unhideWhenUsed/>
    <w:qFormat/>
    <w:pPr>
      <w:spacing w:before="40"/>
    </w:pPr>
    <w:rPr>
      <w:b/>
      <w:i/>
      <w:color w:val="26543D" w:themeColor="dark2"/>
      <w:sz w:val="20"/>
    </w:rPr>
  </w:style>
  <w:style w:type="paragraph" w:customStyle="1" w:styleId="h68611436">
    <w:name w:val="h68611436"/>
    <w:basedOn w:val="Normal1"/>
    <w:uiPriority w:val="1"/>
    <w:unhideWhenUsed/>
    <w:qFormat/>
    <w:pPr>
      <w:tabs>
        <w:tab w:val="center" w:pos="4252"/>
        <w:tab w:val="right" w:pos="8504"/>
      </w:tabs>
      <w:spacing w:after="0" w:line="240" w:lineRule="auto"/>
    </w:pPr>
  </w:style>
  <w:style w:type="paragraph" w:customStyle="1" w:styleId="h27732871">
    <w:name w:val="h27732871"/>
    <w:basedOn w:val="Normal1"/>
    <w:uiPriority w:val="1"/>
    <w:unhideWhenUsed/>
    <w:qFormat/>
    <w:pPr>
      <w:spacing w:before="100" w:after="100" w:line="240" w:lineRule="auto"/>
    </w:pPr>
    <w:rPr>
      <w:rFonts w:ascii="Times New Roman" w:eastAsia="Times New Roman" w:hAnsi="Times New Roman" w:cs="Times New Roman"/>
      <w:color w:val="000000"/>
    </w:rPr>
  </w:style>
  <w:style w:type="paragraph" w:customStyle="1" w:styleId="Ttulo1">
    <w:name w:val="Título1"/>
    <w:basedOn w:val="Normal1"/>
    <w:next w:val="Normal1"/>
    <w:link w:val="TitleChar"/>
    <w:uiPriority w:val="1"/>
    <w:unhideWhenUsed/>
    <w:qFormat/>
    <w:pPr>
      <w:spacing w:after="360" w:line="240" w:lineRule="auto"/>
    </w:pPr>
    <w:rPr>
      <w:b/>
      <w:color w:val="1D57BE" w:themeColor="accent1" w:themeShade="BF"/>
      <w:sz w:val="72"/>
    </w:rPr>
  </w:style>
  <w:style w:type="paragraph" w:customStyle="1" w:styleId="h68761336">
    <w:name w:val="h68761336"/>
    <w:basedOn w:val="Normal1"/>
    <w:uiPriority w:val="1"/>
    <w:unhideWhenUsed/>
    <w:qFormat/>
    <w:pPr>
      <w:tabs>
        <w:tab w:val="center" w:pos="4252"/>
        <w:tab w:val="right" w:pos="8504"/>
      </w:tabs>
      <w:spacing w:after="0" w:line="240" w:lineRule="auto"/>
    </w:pPr>
  </w:style>
  <w:style w:type="paragraph" w:customStyle="1" w:styleId="Subttulo1">
    <w:name w:val="Subtítulo1"/>
    <w:basedOn w:val="Normal1"/>
    <w:next w:val="Normal1"/>
    <w:link w:val="SubtitleChar"/>
    <w:uiPriority w:val="1"/>
    <w:unhideWhenUsed/>
    <w:qFormat/>
    <w:pPr>
      <w:spacing w:before="240" w:after="480" w:line="240" w:lineRule="auto"/>
    </w:pPr>
    <w:rPr>
      <w:b/>
      <w:i/>
      <w:color w:val="404040"/>
    </w:rPr>
  </w:style>
  <w:style w:type="paragraph" w:customStyle="1" w:styleId="h71382697">
    <w:name w:val="h71382697"/>
    <w:basedOn w:val="Normal1"/>
    <w:uiPriority w:val="1"/>
    <w:unhideWhenUsed/>
    <w:qFormat/>
    <w:pPr>
      <w:spacing w:before="100" w:after="100" w:line="240" w:lineRule="auto"/>
    </w:pPr>
    <w:rPr>
      <w:rFonts w:ascii="Times New Roman" w:eastAsia="Times New Roman" w:hAnsi="Times New Roman" w:cs="Times New Roman"/>
      <w:color w:val="000000"/>
    </w:rPr>
  </w:style>
  <w:style w:type="paragraph" w:customStyle="1" w:styleId="Cita1">
    <w:name w:val="Cita1"/>
    <w:basedOn w:val="Normal1"/>
    <w:next w:val="Normal1"/>
    <w:uiPriority w:val="1"/>
    <w:unhideWhenUsed/>
    <w:qFormat/>
    <w:pPr>
      <w:pBdr>
        <w:top w:val="none" w:sz="0" w:space="0" w:color="000000"/>
        <w:left w:val="single" w:sz="24" w:space="7" w:color="1D57BE" w:themeColor="accent1" w:themeShade="BF"/>
        <w:bottom w:val="none" w:sz="0" w:space="0" w:color="000000"/>
      </w:pBdr>
      <w:shd w:val="clear" w:color="auto" w:fill="D9E4F9"/>
      <w:spacing w:after="360" w:line="312" w:lineRule="auto"/>
    </w:pPr>
  </w:style>
  <w:style w:type="paragraph" w:customStyle="1" w:styleId="Citadestacada1">
    <w:name w:val="Cita destacada1"/>
    <w:basedOn w:val="Normal1"/>
    <w:next w:val="Normal1"/>
    <w:uiPriority w:val="1"/>
    <w:unhideWhenUsed/>
    <w:qFormat/>
    <w:pPr>
      <w:pBdr>
        <w:left w:val="single" w:sz="24" w:space="0" w:color="447DE2" w:themeColor="accent1"/>
      </w:pBdr>
      <w:spacing w:before="100" w:line="300" w:lineRule="auto"/>
      <w:ind w:left="1224" w:right="1224"/>
    </w:pPr>
    <w:rPr>
      <w:color w:val="447DE2" w:themeColor="accent1"/>
      <w:sz w:val="28"/>
    </w:rPr>
  </w:style>
  <w:style w:type="paragraph" w:customStyle="1" w:styleId="Prrafodelista1">
    <w:name w:val="Párrafo de lista1"/>
    <w:basedOn w:val="Normal1"/>
    <w:next w:val="Normal1"/>
    <w:uiPriority w:val="1"/>
    <w:unhideWhenUsed/>
    <w:qFormat/>
    <w:rPr>
      <w:i/>
      <w:color w:val="447DE2" w:themeColor="accent1"/>
      <w:sz w:val="22"/>
    </w:rPr>
  </w:style>
  <w:style w:type="paragraph" w:customStyle="1" w:styleId="Sinespaciado1">
    <w:name w:val="Sin espaciado1"/>
    <w:basedOn w:val="Normal1"/>
    <w:next w:val="Normal1"/>
    <w:uiPriority w:val="1"/>
    <w:unhideWhenUsed/>
    <w:qFormat/>
    <w:pPr>
      <w:spacing w:line="240" w:lineRule="auto"/>
    </w:pPr>
  </w:style>
  <w:style w:type="character" w:customStyle="1" w:styleId="Heading4Char">
    <w:name w:val="Heading 4 Char"/>
    <w:basedOn w:val="Fuentedeprrafopredeter1"/>
    <w:link w:val="Ttulo41"/>
    <w:unhideWhenUsed/>
    <w:qFormat/>
    <w:rPr>
      <w:rFonts w:ascii="Roboto" w:eastAsia="Roboto" w:hAnsi="Roboto" w:cs="Roboto"/>
      <w:b/>
      <w:i/>
      <w:color w:val="000000" w:themeColor="dark1"/>
      <w:sz w:val="28"/>
    </w:rPr>
  </w:style>
  <w:style w:type="character" w:customStyle="1" w:styleId="23">
    <w:name w:val="23"/>
    <w:basedOn w:val="Fuentedeprrafopredeter1"/>
    <w:unhideWhenUsed/>
    <w:qFormat/>
    <w:rPr>
      <w:color w:val="666666"/>
    </w:rPr>
  </w:style>
  <w:style w:type="character" w:customStyle="1" w:styleId="Heading9Char">
    <w:name w:val="Heading9Char"/>
    <w:basedOn w:val="Fuentedeprrafopredeter1"/>
    <w:link w:val="Ttulo91"/>
    <w:unhideWhenUsed/>
    <w:qFormat/>
    <w:rPr>
      <w:rFonts w:ascii="Roboto" w:eastAsia="Roboto" w:hAnsi="Roboto" w:cs="Roboto"/>
      <w:b/>
      <w:i/>
      <w:color w:val="26543D" w:themeColor="dark2"/>
      <w:sz w:val="20"/>
    </w:rPr>
  </w:style>
  <w:style w:type="character" w:customStyle="1" w:styleId="24">
    <w:name w:val="24"/>
    <w:basedOn w:val="Fuentedeprrafopredeter1"/>
    <w:unhideWhenUsed/>
    <w:qFormat/>
    <w:rPr>
      <w:color w:val="CC9900"/>
      <w:u w:val="single"/>
    </w:rPr>
  </w:style>
  <w:style w:type="character" w:customStyle="1" w:styleId="Fuentedeprrafopredeter1">
    <w:name w:val="Fuente de párrafo predeter.1"/>
    <w:unhideWhenUsed/>
    <w:qFormat/>
  </w:style>
  <w:style w:type="character" w:customStyle="1" w:styleId="25">
    <w:name w:val="25"/>
    <w:basedOn w:val="Fuentedeprrafopredeter1"/>
    <w:unhideWhenUsed/>
    <w:qFormat/>
    <w:rPr>
      <w:color w:val="605E5C"/>
      <w:shd w:val="clear" w:color="auto" w:fill="E1DFDD"/>
    </w:rPr>
  </w:style>
  <w:style w:type="character" w:customStyle="1" w:styleId="15">
    <w:name w:val="15"/>
    <w:basedOn w:val="Fuentedeprrafopredeter1"/>
    <w:unhideWhenUsed/>
    <w:qFormat/>
  </w:style>
  <w:style w:type="character" w:customStyle="1" w:styleId="16">
    <w:name w:val="16"/>
    <w:basedOn w:val="Fuentedeprrafopredeter1"/>
    <w:unhideWhenUsed/>
    <w:qFormat/>
  </w:style>
  <w:style w:type="character" w:customStyle="1" w:styleId="SubtitleChar">
    <w:name w:val="Subtitle Char"/>
    <w:basedOn w:val="Fuentedeprrafopredeter1"/>
    <w:link w:val="Subttulo1"/>
    <w:unhideWhenUsed/>
    <w:qFormat/>
    <w:rPr>
      <w:rFonts w:ascii="Roboto" w:eastAsia="Roboto" w:hAnsi="Roboto" w:cs="Roboto"/>
      <w:b/>
      <w:i/>
      <w:color w:val="404040"/>
      <w:sz w:val="24"/>
    </w:rPr>
  </w:style>
  <w:style w:type="character" w:customStyle="1" w:styleId="Heading2Char">
    <w:name w:val="Heading 2 Char"/>
    <w:basedOn w:val="Fuentedeprrafopredeter1"/>
    <w:link w:val="Ttulo21"/>
    <w:unhideWhenUsed/>
    <w:qFormat/>
    <w:rPr>
      <w:rFonts w:ascii="Roboto" w:eastAsia="Roboto" w:hAnsi="Roboto" w:cs="Roboto"/>
      <w:b/>
      <w:color w:val="000000" w:themeColor="dark1"/>
      <w:sz w:val="36"/>
    </w:rPr>
  </w:style>
  <w:style w:type="character" w:customStyle="1" w:styleId="Heading8Char">
    <w:name w:val="Heading 8 Char"/>
    <w:basedOn w:val="Fuentedeprrafopredeter1"/>
    <w:link w:val="Ttulo81"/>
    <w:unhideWhenUsed/>
    <w:qFormat/>
    <w:rPr>
      <w:rFonts w:ascii="Roboto" w:eastAsia="Roboto" w:hAnsi="Roboto" w:cs="Roboto"/>
      <w:b/>
      <w:color w:val="26543D" w:themeColor="dark2"/>
      <w:sz w:val="20"/>
    </w:rPr>
  </w:style>
  <w:style w:type="character" w:customStyle="1" w:styleId="Heading6Char">
    <w:name w:val="Heading 6 Char"/>
    <w:basedOn w:val="Fuentedeprrafopredeter1"/>
    <w:link w:val="Ttulo61"/>
    <w:unhideWhenUsed/>
    <w:qFormat/>
    <w:rPr>
      <w:rFonts w:ascii="Roboto" w:eastAsia="Roboto" w:hAnsi="Roboto" w:cs="Roboto"/>
      <w:i/>
      <w:color w:val="000000" w:themeColor="dark1"/>
      <w:sz w:val="22"/>
      <w:u w:val="single"/>
    </w:rPr>
  </w:style>
  <w:style w:type="character" w:customStyle="1" w:styleId="nfasissutil1">
    <w:name w:val="Énfasis sutil1"/>
    <w:basedOn w:val="Fuentedeprrafopredeter1"/>
    <w:unhideWhenUsed/>
    <w:qFormat/>
    <w:rPr>
      <w:rFonts w:ascii="Roboto" w:eastAsia="Roboto" w:hAnsi="Roboto" w:cs="Roboto"/>
      <w:i/>
      <w:color w:val="C0C0C0" w:themeColor="dark1" w:themeTint="3F"/>
      <w:sz w:val="24"/>
    </w:rPr>
  </w:style>
  <w:style w:type="character" w:customStyle="1" w:styleId="nfasis1">
    <w:name w:val="Énfasis1"/>
    <w:basedOn w:val="Fuentedeprrafopredeter1"/>
    <w:unhideWhenUsed/>
    <w:qFormat/>
    <w:rPr>
      <w:rFonts w:ascii="Roboto" w:eastAsia="Roboto" w:hAnsi="Roboto" w:cs="Roboto"/>
      <w:i/>
      <w:sz w:val="24"/>
    </w:rPr>
  </w:style>
  <w:style w:type="character" w:customStyle="1" w:styleId="nfasisintenso1">
    <w:name w:val="Énfasis intenso1"/>
    <w:basedOn w:val="Fuentedeprrafopredeter1"/>
    <w:unhideWhenUsed/>
    <w:qFormat/>
    <w:rPr>
      <w:rFonts w:ascii="Roboto" w:eastAsia="Roboto" w:hAnsi="Roboto" w:cs="Roboto"/>
      <w:b/>
      <w:i/>
      <w:sz w:val="24"/>
    </w:rPr>
  </w:style>
  <w:style w:type="character" w:customStyle="1" w:styleId="TitleChar">
    <w:name w:val="Title Char"/>
    <w:basedOn w:val="Fuentedeprrafopredeter1"/>
    <w:link w:val="Ttulo1"/>
    <w:unhideWhenUsed/>
    <w:qFormat/>
    <w:rPr>
      <w:rFonts w:ascii="Roboto" w:eastAsia="Roboto" w:hAnsi="Roboto" w:cs="Roboto"/>
      <w:b/>
      <w:color w:val="1D57BE" w:themeColor="accent1" w:themeShade="BF"/>
      <w:spacing w:val="0"/>
      <w:sz w:val="72"/>
    </w:rPr>
  </w:style>
  <w:style w:type="character" w:customStyle="1" w:styleId="Textoennegrita1">
    <w:name w:val="Texto en negrita1"/>
    <w:basedOn w:val="Fuentedeprrafopredeter1"/>
    <w:unhideWhenUsed/>
    <w:qFormat/>
    <w:rPr>
      <w:rFonts w:ascii="Roboto" w:eastAsia="Roboto" w:hAnsi="Roboto" w:cs="Roboto"/>
      <w:b/>
      <w:sz w:val="24"/>
    </w:rPr>
  </w:style>
  <w:style w:type="character" w:customStyle="1" w:styleId="Referenciasutil1">
    <w:name w:val="Referencia sutil1"/>
    <w:basedOn w:val="Fuentedeprrafopredeter1"/>
    <w:unhideWhenUsed/>
    <w:qFormat/>
    <w:rPr>
      <w:rFonts w:ascii="Roboto" w:eastAsia="Roboto" w:hAnsi="Roboto" w:cs="Roboto"/>
      <w:smallCaps/>
      <w:color w:val="C0C0C0" w:themeColor="dark1" w:themeTint="3F"/>
      <w:sz w:val="24"/>
      <w:u w:val="single"/>
    </w:rPr>
  </w:style>
  <w:style w:type="character" w:customStyle="1" w:styleId="Referenciaintensa1">
    <w:name w:val="Referencia intensa1"/>
    <w:basedOn w:val="Fuentedeprrafopredeter1"/>
    <w:unhideWhenUsed/>
    <w:qFormat/>
    <w:rPr>
      <w:rFonts w:ascii="Roboto" w:eastAsia="Roboto" w:hAnsi="Roboto" w:cs="Roboto"/>
      <w:b/>
      <w:smallCaps/>
      <w:spacing w:val="0"/>
      <w:sz w:val="24"/>
      <w:u w:val="single"/>
    </w:rPr>
  </w:style>
  <w:style w:type="character" w:customStyle="1" w:styleId="Ttulodellibro1">
    <w:name w:val="Título del libro1"/>
    <w:basedOn w:val="Fuentedeprrafopredeter1"/>
    <w:unhideWhenUsed/>
    <w:qFormat/>
    <w:rPr>
      <w:rFonts w:ascii="Roboto" w:eastAsia="Roboto" w:hAnsi="Roboto" w:cs="Roboto"/>
      <w:b/>
      <w:smallCaps/>
      <w:sz w:val="24"/>
    </w:rPr>
  </w:style>
  <w:style w:type="character" w:customStyle="1" w:styleId="Heading7Char">
    <w:name w:val="Heading 7 Char"/>
    <w:basedOn w:val="Fuentedeprrafopredeter1"/>
    <w:link w:val="Ttulo71"/>
    <w:unhideWhenUsed/>
    <w:qFormat/>
    <w:rPr>
      <w:rFonts w:ascii="Roboto" w:eastAsia="Roboto" w:hAnsi="Roboto" w:cs="Roboto"/>
      <w:b/>
      <w:color w:val="0D0D0D" w:themeColor="dark1" w:themeTint="F2"/>
      <w:sz w:val="48"/>
    </w:rPr>
  </w:style>
  <w:style w:type="character" w:customStyle="1" w:styleId="Heading3Char">
    <w:name w:val="Heading 3 Char"/>
    <w:basedOn w:val="Fuentedeprrafopredeter1"/>
    <w:link w:val="Ttulo31"/>
    <w:unhideWhenUsed/>
    <w:qFormat/>
    <w:rPr>
      <w:rFonts w:ascii="Roboto" w:eastAsia="Roboto" w:hAnsi="Roboto" w:cs="Roboto"/>
      <w:b/>
      <w:color w:val="000000" w:themeColor="dark1"/>
      <w:sz w:val="32"/>
    </w:rPr>
  </w:style>
  <w:style w:type="character" w:customStyle="1" w:styleId="Heading5Char">
    <w:name w:val="Heading 5 Char"/>
    <w:basedOn w:val="Fuentedeprrafopredeter1"/>
    <w:link w:val="Ttulo51"/>
    <w:unhideWhenUsed/>
    <w:qFormat/>
    <w:rPr>
      <w:rFonts w:ascii="Roboto" w:eastAsia="Roboto" w:hAnsi="Roboto" w:cs="Roboto"/>
      <w:color w:val="FFFFFF" w:themeColor="ligh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nge.it/local-user-mfa" TargetMode="External"/><Relationship Id="rId13" Type="http://schemas.openxmlformats.org/officeDocument/2006/relationships/hyperlink" Target="http://www.manageengin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nge.it/risk-exposure-mngmt" TargetMode="External"/><Relationship Id="rId12" Type="http://schemas.openxmlformats.org/officeDocument/2006/relationships/hyperlink" Target="https://www.manageengine.com/active-directory-36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erizon.com/business/resources/T163/reports/2025-dbir-data-breach-investigations-report.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manageengine.com/active-directory-360/" TargetMode="External"/><Relationship Id="rId4" Type="http://schemas.openxmlformats.org/officeDocument/2006/relationships/webSettings" Target="webSettings.xml"/><Relationship Id="rId9" Type="http://schemas.openxmlformats.org/officeDocument/2006/relationships/hyperlink" Target="https://www.manageengine.com/" TargetMode="External"/><Relationship Id="rId14" Type="http://schemas.openxmlformats.org/officeDocument/2006/relationships/hyperlink" Target="mailto:juan@121p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fault">
      <a:dk1>
        <a:srgbClr val="000000"/>
      </a:dk1>
      <a:lt1>
        <a:srgbClr val="FFFFFF"/>
      </a:lt1>
      <a:dk2>
        <a:srgbClr val="26543D"/>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5595</Characters>
  <Application>Microsoft Office Word</Application>
  <DocSecurity>0</DocSecurity>
  <Lines>46</Lines>
  <Paragraphs>13</Paragraphs>
  <ScaleCrop>false</ScaleCrop>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López</dc:creator>
  <cp:lastModifiedBy>Agustina López</cp:lastModifiedBy>
  <cp:revision>2</cp:revision>
  <dcterms:created xsi:type="dcterms:W3CDTF">2025-09-03T11:34:00Z</dcterms:created>
  <dcterms:modified xsi:type="dcterms:W3CDTF">2025-09-03T11:34:00Z</dcterms:modified>
</cp:coreProperties>
</file>