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80" w:before="240" w:line="264" w:lineRule="auto"/>
        <w:jc w:val="center"/>
        <w:rPr>
          <w:i w:val="1"/>
          <w:sz w:val="24"/>
          <w:szCs w:val="24"/>
          <w:u w:val="single"/>
        </w:rPr>
      </w:pPr>
      <w:r w:rsidDel="00000000" w:rsidR="00000000" w:rsidRPr="00000000">
        <w:rPr>
          <w:i w:val="1"/>
          <w:sz w:val="24"/>
          <w:szCs w:val="24"/>
          <w:u w:val="single"/>
          <w:rtl w:val="0"/>
        </w:rPr>
        <w:t xml:space="preserve">Comunicato Stampa</w:t>
      </w:r>
    </w:p>
    <w:p w:rsidR="00000000" w:rsidDel="00000000" w:rsidP="00000000" w:rsidRDefault="00000000" w:rsidRPr="00000000" w14:paraId="00000002">
      <w:pPr>
        <w:spacing w:before="240" w:line="288" w:lineRule="auto"/>
        <w:jc w:val="center"/>
        <w:rPr>
          <w:rFonts w:ascii="Calibri" w:cs="Calibri" w:eastAsia="Calibri" w:hAnsi="Calibri"/>
          <w:i w:val="1"/>
          <w:highlight w:val="yellow"/>
        </w:rPr>
      </w:pPr>
      <w:r w:rsidDel="00000000" w:rsidR="00000000" w:rsidRPr="00000000">
        <w:rPr>
          <w:b w:val="1"/>
          <w:i w:val="1"/>
          <w:sz w:val="28"/>
          <w:szCs w:val="28"/>
          <w:rtl w:val="0"/>
        </w:rPr>
        <w:t xml:space="preserve">Successo per l’Inti Raymi 2025: Cusco Accoglie Migliaia di Visitatori per la Festa del Sole</w:t>
      </w:r>
      <w:r w:rsidDel="00000000" w:rsidR="00000000" w:rsidRPr="00000000">
        <w:rPr>
          <w:b w:val="1"/>
          <w:i w:val="1"/>
          <w:sz w:val="28"/>
          <w:szCs w:val="28"/>
          <w:rtl w:val="0"/>
        </w:rPr>
        <w:t xml:space="preserve">.</w:t>
      </w:r>
      <w:r w:rsidDel="00000000" w:rsidR="00000000" w:rsidRPr="00000000">
        <w:rPr>
          <w:b w:val="1"/>
          <w:i w:val="1"/>
          <w:sz w:val="28"/>
          <w:szCs w:val="28"/>
          <w:rtl w:val="0"/>
        </w:rPr>
        <w:t xml:space="preserve"> </w:t>
      </w:r>
      <w:r w:rsidDel="00000000" w:rsidR="00000000" w:rsidRPr="00000000">
        <w:rPr>
          <w:rtl w:val="0"/>
        </w:rPr>
      </w:r>
    </w:p>
    <w:p w:rsidR="00000000" w:rsidDel="00000000" w:rsidP="00000000" w:rsidRDefault="00000000" w:rsidRPr="00000000" w14:paraId="00000003">
      <w:pPr>
        <w:spacing w:before="240" w:line="288" w:lineRule="auto"/>
        <w:jc w:val="center"/>
        <w:rPr>
          <w:rFonts w:ascii="Calibri" w:cs="Calibri" w:eastAsia="Calibri" w:hAnsi="Calibri"/>
          <w:i w:val="1"/>
        </w:rPr>
      </w:pPr>
      <w:r w:rsidDel="00000000" w:rsidR="00000000" w:rsidRPr="00000000">
        <w:rPr>
          <w:rFonts w:ascii="Calibri" w:cs="Calibri" w:eastAsia="Calibri" w:hAnsi="Calibri"/>
          <w:i w:val="1"/>
          <w:rtl w:val="0"/>
        </w:rPr>
        <w:t xml:space="preserve">Il 24 giugno, il Perù e la Regione di Cusco hanno accolto viaggiatori da tutto il mondo per l’82ª edizione dell’Inti Raymi, la spettacolare rievocazione in onore del Sole, divinità suprema dell’antica civiltà Inca, con oltre 800 interpreti in scena.</w:t>
      </w:r>
    </w:p>
    <w:p w:rsidR="00000000" w:rsidDel="00000000" w:rsidP="00000000" w:rsidRDefault="00000000" w:rsidRPr="00000000" w14:paraId="00000004">
      <w:pPr>
        <w:spacing w:before="240" w:line="288" w:lineRule="auto"/>
        <w:jc w:val="center"/>
        <w:rPr>
          <w:rFonts w:ascii="Calibri" w:cs="Calibri" w:eastAsia="Calibri" w:hAnsi="Calibri"/>
          <w:i w:val="1"/>
        </w:rPr>
      </w:pPr>
      <w:r w:rsidDel="00000000" w:rsidR="00000000" w:rsidRPr="00000000">
        <w:rPr/>
        <w:drawing>
          <wp:inline distB="0" distT="0" distL="0" distR="0">
            <wp:extent cx="3156381" cy="2123366"/>
            <wp:effectExtent b="0" l="0" r="0" t="0"/>
            <wp:docPr id="1155542456"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3156381" cy="2123366"/>
                    </a:xfrm>
                    <a:prstGeom prst="rect"/>
                    <a:ln/>
                  </pic:spPr>
                </pic:pic>
              </a:graphicData>
            </a:graphic>
          </wp:inline>
        </w:drawing>
      </w:r>
      <w:r w:rsidDel="00000000" w:rsidR="00000000" w:rsidRPr="00000000">
        <w:rPr>
          <w:rtl w:val="0"/>
        </w:rPr>
      </w:r>
    </w:p>
    <w:p w:rsidR="00000000" w:rsidDel="00000000" w:rsidP="00000000" w:rsidRDefault="00000000" w:rsidRPr="00000000" w14:paraId="00000005">
      <w:pPr>
        <w:spacing w:before="240" w:line="288" w:lineRule="auto"/>
        <w:jc w:val="center"/>
        <w:rPr>
          <w:rFonts w:ascii="Calibri" w:cs="Calibri" w:eastAsia="Calibri" w:hAnsi="Calibri"/>
          <w:i w:val="1"/>
          <w:sz w:val="16"/>
          <w:szCs w:val="16"/>
        </w:rPr>
      </w:pPr>
      <w:hyperlink r:id="rId8">
        <w:r w:rsidDel="00000000" w:rsidR="00000000" w:rsidRPr="00000000">
          <w:rPr>
            <w:rFonts w:ascii="Calibri" w:cs="Calibri" w:eastAsia="Calibri" w:hAnsi="Calibri"/>
            <w:b w:val="1"/>
            <w:i w:val="1"/>
            <w:color w:val="0000ff"/>
            <w:sz w:val="16"/>
            <w:szCs w:val="16"/>
            <w:u w:val="single"/>
            <w:rtl w:val="0"/>
          </w:rPr>
          <w:t xml:space="preserve">Vai alla Gallery</w:t>
        </w:r>
      </w:hyperlink>
      <w:r w:rsidDel="00000000" w:rsidR="00000000" w:rsidRPr="00000000">
        <w:rPr>
          <w:rFonts w:ascii="Calibri" w:cs="Calibri" w:eastAsia="Calibri" w:hAnsi="Calibri"/>
          <w:b w:val="1"/>
          <w:i w:val="1"/>
          <w:color w:val="1155cc"/>
          <w:sz w:val="16"/>
          <w:szCs w:val="16"/>
          <w:rtl w:val="0"/>
        </w:rPr>
        <w:t xml:space="preserve"> </w:t>
      </w:r>
      <w:r w:rsidDel="00000000" w:rsidR="00000000" w:rsidRPr="00000000">
        <w:rPr>
          <w:rFonts w:ascii="Calibri" w:cs="Calibri" w:eastAsia="Calibri" w:hAnsi="Calibri"/>
          <w:b w:val="1"/>
          <w:i w:val="1"/>
          <w:sz w:val="16"/>
          <w:szCs w:val="16"/>
          <w:rtl w:val="0"/>
        </w:rPr>
        <w:t xml:space="preserve">– NB: I credits sono riportati nel nome del file</w:t>
      </w:r>
      <w:r w:rsidDel="00000000" w:rsidR="00000000" w:rsidRPr="00000000">
        <w:rPr>
          <w:rFonts w:ascii="Calibri" w:cs="Calibri" w:eastAsia="Calibri" w:hAnsi="Calibri"/>
          <w:i w:val="1"/>
          <w:sz w:val="16"/>
          <w:szCs w:val="16"/>
          <w:rtl w:val="0"/>
        </w:rPr>
        <w:t xml:space="preserve"> </w:t>
      </w:r>
    </w:p>
    <w:p w:rsidR="00000000" w:rsidDel="00000000" w:rsidP="00000000" w:rsidRDefault="00000000" w:rsidRPr="00000000" w14:paraId="00000006">
      <w:pPr>
        <w:spacing w:after="240" w:before="240" w:line="288" w:lineRule="auto"/>
        <w:jc w:val="both"/>
        <w:rPr>
          <w:rFonts w:ascii="Calibri" w:cs="Calibri" w:eastAsia="Calibri" w:hAnsi="Calibri"/>
        </w:rPr>
      </w:pPr>
      <w:r w:rsidDel="00000000" w:rsidR="00000000" w:rsidRPr="00000000">
        <w:rPr>
          <w:rFonts w:ascii="Calibri" w:cs="Calibri" w:eastAsia="Calibri" w:hAnsi="Calibri"/>
          <w:i w:val="1"/>
          <w:sz w:val="21"/>
          <w:szCs w:val="21"/>
          <w:rtl w:val="0"/>
        </w:rPr>
        <w:t xml:space="preserve">Luglio 2025</w:t>
      </w:r>
      <w:r w:rsidDel="00000000" w:rsidR="00000000" w:rsidRPr="00000000">
        <w:rPr>
          <w:rFonts w:ascii="Calibri" w:cs="Calibri" w:eastAsia="Calibri" w:hAnsi="Calibri"/>
          <w:sz w:val="21"/>
          <w:szCs w:val="21"/>
          <w:rtl w:val="0"/>
        </w:rPr>
        <w:t xml:space="preserve"> –</w:t>
      </w:r>
      <w:r w:rsidDel="00000000" w:rsidR="00000000" w:rsidRPr="00000000">
        <w:rPr>
          <w:rFonts w:ascii="Calibri" w:cs="Calibri" w:eastAsia="Calibri" w:hAnsi="Calibri"/>
          <w:rtl w:val="0"/>
        </w:rPr>
        <w:t xml:space="preserve"> La città di Cusco</w:t>
      </w:r>
      <w:r w:rsidDel="00000000" w:rsidR="00000000" w:rsidRPr="00000000">
        <w:rPr>
          <w:rtl w:val="0"/>
        </w:rPr>
        <w:t xml:space="preserve"> </w:t>
      </w:r>
      <w:r w:rsidDel="00000000" w:rsidR="00000000" w:rsidRPr="00000000">
        <w:rPr>
          <w:rFonts w:ascii="Calibri" w:cs="Calibri" w:eastAsia="Calibri" w:hAnsi="Calibri"/>
          <w:rtl w:val="0"/>
        </w:rPr>
        <w:t xml:space="preserve">– nel sud del Perù e cuore pulsante dell’antico Impero Inca – il 24 giugno ha celebrato l'82ª edizione dell'Inti Raymi, una delle feste più emblematiche dell'eredità Inca, riconosciuta come Patrimonio Culturale della Nazione.</w:t>
      </w:r>
      <w:r w:rsidDel="00000000" w:rsidR="00000000" w:rsidRPr="00000000">
        <w:rPr>
          <w:rtl w:val="0"/>
        </w:rPr>
        <w:t xml:space="preserve"> </w:t>
      </w:r>
      <w:r w:rsidDel="00000000" w:rsidR="00000000" w:rsidRPr="00000000">
        <w:rPr>
          <w:rFonts w:ascii="Calibri" w:cs="Calibri" w:eastAsia="Calibri" w:hAnsi="Calibri"/>
          <w:rtl w:val="0"/>
        </w:rPr>
        <w:t xml:space="preserve">Questo</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rtl w:val="0"/>
        </w:rPr>
        <w:t xml:space="preserve">travolgente evento</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rtl w:val="0"/>
        </w:rPr>
        <w:t xml:space="preserve">non si limita a rievocare affascinanti rituali ancestrali, ma esprime anche un legame profondo con la natura, i cicli cosmici e l’eredità spirituale del popolo andino. </w:t>
      </w:r>
    </w:p>
    <w:p w:rsidR="00000000" w:rsidDel="00000000" w:rsidP="00000000" w:rsidRDefault="00000000" w:rsidRPr="00000000" w14:paraId="00000007">
      <w:pPr>
        <w:spacing w:after="240" w:before="240" w:line="288" w:lineRule="auto"/>
        <w:jc w:val="both"/>
        <w:rPr>
          <w:rFonts w:ascii="Calibri" w:cs="Calibri" w:eastAsia="Calibri" w:hAnsi="Calibri"/>
        </w:rPr>
      </w:pPr>
      <w:r w:rsidDel="00000000" w:rsidR="00000000" w:rsidRPr="00000000">
        <w:rPr>
          <w:rFonts w:ascii="Calibri" w:cs="Calibri" w:eastAsia="Calibri" w:hAnsi="Calibri"/>
          <w:rtl w:val="0"/>
        </w:rPr>
        <w:t xml:space="preserve">L’Inti Raymi, che in quechua significa “Festa del Sole”, fu istituito nel XV secolo dall’imperatore Pachacuteq come solenne omaggio all’astro più venerato della cosmologia incaica. Soppressa durante il periodo coloniale, la cerimonia è stata recuperata nel 1944 come rievocazione storica e culturale. Da allora, ogni 24 giugno, migliaia di persone si riuniscono a Cusco, tra il centro storico e i siti archeologici circostanti, per assistere a una spettacolare messa in scena che fonde cultura viva, spiritualità e arte. Oggi è uno spettacolo unico al mondo – arricchito da canti in quechua e antichi rituali</w:t>
      </w:r>
      <w:r w:rsidDel="00000000" w:rsidR="00000000" w:rsidRPr="00000000">
        <w:rPr>
          <w:rFonts w:ascii="Calibri" w:cs="Calibri" w:eastAsia="Calibri" w:hAnsi="Calibri"/>
          <w:sz w:val="21"/>
          <w:szCs w:val="21"/>
          <w:rtl w:val="0"/>
        </w:rPr>
        <w:t xml:space="preserve"> - </w:t>
      </w:r>
      <w:r w:rsidDel="00000000" w:rsidR="00000000" w:rsidRPr="00000000">
        <w:rPr>
          <w:rFonts w:ascii="Calibri" w:cs="Calibri" w:eastAsia="Calibri" w:hAnsi="Calibri"/>
          <w:rtl w:val="0"/>
        </w:rPr>
        <w:t xml:space="preserve">che prende vita, grazie a oltre 800 interpreti, in tre luoghi simbolo: il tempio di Qorikancha, la Plaza de Armas di Cusco e l’imponente sito archeologico di Saqsaywaman.</w:t>
      </w:r>
    </w:p>
    <w:p w:rsidR="00000000" w:rsidDel="00000000" w:rsidP="00000000" w:rsidRDefault="00000000" w:rsidRPr="00000000" w14:paraId="00000008">
      <w:pPr>
        <w:spacing w:after="240" w:before="240" w:line="288" w:lineRule="auto"/>
        <w:jc w:val="both"/>
        <w:rPr>
          <w:rFonts w:ascii="Calibri" w:cs="Calibri" w:eastAsia="Calibri" w:hAnsi="Calibri"/>
        </w:rPr>
      </w:pPr>
      <w:r w:rsidDel="00000000" w:rsidR="00000000" w:rsidRPr="00000000">
        <w:rPr>
          <w:rFonts w:ascii="Calibri" w:cs="Calibri" w:eastAsia="Calibri" w:hAnsi="Calibri"/>
          <w:rtl w:val="0"/>
        </w:rPr>
        <w:t xml:space="preserve">La giornata si apre con il “Saluto al Sole”: l’Inca, accompagnato dalla sua corte imperiale, rende omaggio al Sole presso </w:t>
      </w:r>
      <w:r w:rsidDel="00000000" w:rsidR="00000000" w:rsidRPr="00000000">
        <w:rPr>
          <w:rFonts w:ascii="Calibri" w:cs="Calibri" w:eastAsia="Calibri" w:hAnsi="Calibri"/>
          <w:b w:val="1"/>
          <w:rtl w:val="0"/>
        </w:rPr>
        <w:t xml:space="preserve">Qorikancha</w:t>
      </w:r>
      <w:r w:rsidDel="00000000" w:rsidR="00000000" w:rsidRPr="00000000">
        <w:rPr>
          <w:rFonts w:ascii="Calibri" w:cs="Calibri" w:eastAsia="Calibri" w:hAnsi="Calibri"/>
          <w:rtl w:val="0"/>
        </w:rPr>
        <w:t xml:space="preserve">, l’antico Tempio del Dio Sole, uno dei luoghi più sacri dell’Impero Inca. Questo</w:t>
      </w:r>
      <w:r w:rsidDel="00000000" w:rsidR="00000000" w:rsidRPr="00000000">
        <w:rPr>
          <w:rFonts w:ascii="Calibri" w:cs="Calibri" w:eastAsia="Calibri" w:hAnsi="Calibri"/>
          <w:rtl w:val="0"/>
        </w:rPr>
        <w:t xml:space="preserve"> sito</w:t>
      </w:r>
      <w:r w:rsidDel="00000000" w:rsidR="00000000" w:rsidRPr="00000000">
        <w:rPr>
          <w:rFonts w:ascii="Calibri" w:cs="Calibri" w:eastAsia="Calibri" w:hAnsi="Calibri"/>
          <w:rtl w:val="0"/>
        </w:rPr>
        <w:t xml:space="preserve"> fu in gran parte distrutto con l’arrivo degli spagnoli, che vi edificarono la chiesa di Santo Domingo, incorporando le strutture originarie del tempio, di cui ancora oggi si possono ammirare preziose testimonianze. La celebrazione prosegue nel cuore della città, a </w:t>
      </w:r>
      <w:r w:rsidDel="00000000" w:rsidR="00000000" w:rsidRPr="00000000">
        <w:rPr>
          <w:rFonts w:ascii="Calibri" w:cs="Calibri" w:eastAsia="Calibri" w:hAnsi="Calibri"/>
          <w:b w:val="1"/>
          <w:rtl w:val="0"/>
        </w:rPr>
        <w:t xml:space="preserve">Plaza de Armas</w:t>
      </w:r>
      <w:r w:rsidDel="00000000" w:rsidR="00000000" w:rsidRPr="00000000">
        <w:rPr>
          <w:rFonts w:ascii="Calibri" w:cs="Calibri" w:eastAsia="Calibri" w:hAnsi="Calibri"/>
          <w:rtl w:val="0"/>
        </w:rPr>
        <w:t xml:space="preserve">, con il simbolico “Incontro dei Tempi”. Questo atto rappresenta l’incontro tra il mondo Inca e quello moderno, e ha per protagonisti l’Inca e il Sindaco di Cusco. A quest’ultimo viene consegnato il </w:t>
      </w:r>
      <w:r w:rsidDel="00000000" w:rsidR="00000000" w:rsidRPr="00000000">
        <w:rPr>
          <w:rFonts w:ascii="Calibri" w:cs="Calibri" w:eastAsia="Calibri" w:hAnsi="Calibri"/>
          <w:rtl w:val="0"/>
        </w:rPr>
        <w:t xml:space="preserve">quipu</w:t>
      </w:r>
      <w:r w:rsidDel="00000000" w:rsidR="00000000" w:rsidRPr="00000000">
        <w:rPr>
          <w:rFonts w:ascii="Calibri" w:cs="Calibri" w:eastAsia="Calibri" w:hAnsi="Calibri"/>
          <w:rtl w:val="0"/>
        </w:rPr>
        <w:t xml:space="preserve">, antico sistema di registro d’informazione dell’amministrazione inca, composto da cordicelle annodate secondo un codice preciso. Il momento culminante si svolge nel sito archeologico di </w:t>
      </w:r>
      <w:r w:rsidDel="00000000" w:rsidR="00000000" w:rsidRPr="00000000">
        <w:rPr>
          <w:rFonts w:ascii="Calibri" w:cs="Calibri" w:eastAsia="Calibri" w:hAnsi="Calibri"/>
          <w:b w:val="1"/>
          <w:rtl w:val="0"/>
        </w:rPr>
        <w:t xml:space="preserve">Saqsaywaman</w:t>
      </w:r>
      <w:r w:rsidDel="00000000" w:rsidR="00000000" w:rsidRPr="00000000">
        <w:rPr>
          <w:rFonts w:ascii="Calibri" w:cs="Calibri" w:eastAsia="Calibri" w:hAnsi="Calibri"/>
          <w:rtl w:val="0"/>
        </w:rPr>
        <w:t xml:space="preserve">, la leggendaria fortezza inca situata a due chilometri dalla piazza principale di Cusco. In questo scenario carico di storia si tengono le cerimonie più solenni: danze tradizionali, canti in quechua e rituali ancestrali, tra cui l’accensione del fuoco sacro e il sacrificio simbolico di una fiamma.</w:t>
      </w:r>
    </w:p>
    <w:p w:rsidR="00000000" w:rsidDel="00000000" w:rsidP="00000000" w:rsidRDefault="00000000" w:rsidRPr="00000000" w14:paraId="00000009">
      <w:pPr>
        <w:spacing w:after="240" w:before="240" w:line="288" w:lineRule="auto"/>
        <w:jc w:val="both"/>
        <w:rPr>
          <w:rFonts w:ascii="Calibri" w:cs="Calibri" w:eastAsia="Calibri" w:hAnsi="Calibri"/>
        </w:rPr>
      </w:pPr>
      <w:r w:rsidDel="00000000" w:rsidR="00000000" w:rsidRPr="00000000">
        <w:rPr>
          <w:rFonts w:ascii="Calibri" w:cs="Calibri" w:eastAsia="Calibri" w:hAnsi="Calibri"/>
          <w:rtl w:val="0"/>
        </w:rPr>
        <w:t xml:space="preserve">L’Inti Raymi non è soltanto una rappresentazione storica, ma una potente espressione viva di identità collettiva, dove il passato dialoga con il presente e anche le nuove generazioni riscoprono le proprie radici. In questa occasione Cusco si è rivelata, ancora una volta, un centro pulsante di rinascita spirituale, memoria condivisa e orgoglio andino. </w:t>
      </w:r>
      <w:r w:rsidDel="00000000" w:rsidR="00000000" w:rsidRPr="00000000">
        <w:rPr>
          <w:rtl w:val="0"/>
        </w:rPr>
      </w:r>
    </w:p>
    <w:p w:rsidR="00000000" w:rsidDel="00000000" w:rsidP="00000000" w:rsidRDefault="00000000" w:rsidRPr="00000000" w14:paraId="0000000A">
      <w:pPr>
        <w:spacing w:after="240" w:before="240" w:line="288" w:lineRule="auto"/>
        <w:jc w:val="both"/>
        <w:rPr>
          <w:rFonts w:ascii="Calibri" w:cs="Calibri" w:eastAsia="Calibri" w:hAnsi="Calibri"/>
          <w:i w:val="1"/>
          <w:color w:val="595959"/>
        </w:rPr>
      </w:pPr>
      <w:r w:rsidDel="00000000" w:rsidR="00000000" w:rsidRPr="00000000">
        <w:rPr>
          <w:rFonts w:ascii="Calibri" w:cs="Calibri" w:eastAsia="Calibri" w:hAnsi="Calibri"/>
          <w:b w:val="1"/>
          <w:i w:val="1"/>
          <w:color w:val="595959"/>
          <w:rtl w:val="0"/>
        </w:rPr>
        <w:t xml:space="preserve">PROMPERÚ</w:t>
      </w:r>
      <w:r w:rsidDel="00000000" w:rsidR="00000000" w:rsidRPr="00000000">
        <w:rPr>
          <w:rFonts w:ascii="Calibri" w:cs="Calibri" w:eastAsia="Calibri" w:hAnsi="Calibri"/>
          <w:i w:val="1"/>
          <w:color w:val="595959"/>
          <w:rtl w:val="0"/>
        </w:rPr>
        <w:t xml:space="preserve"> - La Commissione Peruviana per la Promozione delle Esportazioni e del Turismo l'organismo ufficiale specializzato in promozione del turismo, delle esportazioni e degli investimenti delle imprese, collegato al Ministero del Commercio Estero e del Turismo del Perù.</w:t>
      </w:r>
    </w:p>
    <w:p w:rsidR="00000000" w:rsidDel="00000000" w:rsidP="00000000" w:rsidRDefault="00000000" w:rsidRPr="00000000" w14:paraId="0000000B">
      <w:pPr>
        <w:spacing w:before="240" w:line="240" w:lineRule="auto"/>
        <w:jc w:val="right"/>
        <w:rPr>
          <w:rFonts w:ascii="Calibri" w:cs="Calibri" w:eastAsia="Calibri" w:hAnsi="Calibri"/>
          <w:b w:val="1"/>
        </w:rPr>
      </w:pPr>
      <w:r w:rsidDel="00000000" w:rsidR="00000000" w:rsidRPr="00000000">
        <w:rPr>
          <w:rFonts w:ascii="Calibri" w:cs="Calibri" w:eastAsia="Calibri" w:hAnsi="Calibri"/>
          <w:b w:val="1"/>
          <w:rtl w:val="0"/>
        </w:rPr>
        <w:t xml:space="preserve">Per ulteriori informazioni:</w:t>
      </w:r>
    </w:p>
    <w:p w:rsidR="00000000" w:rsidDel="00000000" w:rsidP="00000000" w:rsidRDefault="00000000" w:rsidRPr="00000000" w14:paraId="0000000C">
      <w:pPr>
        <w:spacing w:before="240" w:line="240" w:lineRule="auto"/>
        <w:jc w:val="right"/>
        <w:rPr>
          <w:rFonts w:ascii="Calibri" w:cs="Calibri" w:eastAsia="Calibri" w:hAnsi="Calibri"/>
          <w:color w:val="0563c1"/>
        </w:rPr>
      </w:pPr>
      <w:r w:rsidDel="00000000" w:rsidR="00000000" w:rsidRPr="00000000">
        <w:rPr>
          <w:rFonts w:ascii="Calibri" w:cs="Calibri" w:eastAsia="Calibri" w:hAnsi="Calibri"/>
          <w:color w:val="0563c1"/>
          <w:rtl w:val="0"/>
        </w:rPr>
        <w:t xml:space="preserve">peru@globaltourist.it</w:t>
      </w:r>
    </w:p>
    <w:p w:rsidR="00000000" w:rsidDel="00000000" w:rsidP="00000000" w:rsidRDefault="00000000" w:rsidRPr="00000000" w14:paraId="0000000D">
      <w:pPr>
        <w:spacing w:before="240" w:line="240" w:lineRule="auto"/>
        <w:jc w:val="right"/>
        <w:rPr>
          <w:rFonts w:ascii="Calibri" w:cs="Calibri" w:eastAsia="Calibri" w:hAnsi="Calibri"/>
          <w:color w:val="1155cc"/>
          <w:u w:val="single"/>
        </w:rPr>
      </w:pPr>
      <w:hyperlink r:id="rId9">
        <w:r w:rsidDel="00000000" w:rsidR="00000000" w:rsidRPr="00000000">
          <w:rPr>
            <w:rFonts w:ascii="Calibri" w:cs="Calibri" w:eastAsia="Calibri" w:hAnsi="Calibri"/>
            <w:color w:val="0000ff"/>
            <w:u w:val="single"/>
            <w:rtl w:val="0"/>
          </w:rPr>
          <w:t xml:space="preserve">www.peru.travel/it</w:t>
        </w:r>
      </w:hyperlink>
      <w:r w:rsidDel="00000000" w:rsidR="00000000" w:rsidRPr="00000000">
        <w:rPr>
          <w:rtl w:val="0"/>
        </w:rPr>
      </w:r>
    </w:p>
    <w:p w:rsidR="00000000" w:rsidDel="00000000" w:rsidP="00000000" w:rsidRDefault="00000000" w:rsidRPr="00000000" w14:paraId="0000000E">
      <w:pPr>
        <w:spacing w:before="240" w:line="240" w:lineRule="auto"/>
        <w:jc w:val="right"/>
        <w:rPr/>
      </w:pPr>
      <w:r w:rsidDel="00000000" w:rsidR="00000000" w:rsidRPr="00000000">
        <w:rPr>
          <w:rFonts w:ascii="Calibri" w:cs="Calibri" w:eastAsia="Calibri" w:hAnsi="Calibri"/>
          <w:rtl w:val="0"/>
        </w:rPr>
        <w:t xml:space="preserve">FB –</w:t>
      </w:r>
      <w:hyperlink r:id="rId10">
        <w:r w:rsidDel="00000000" w:rsidR="00000000" w:rsidRPr="00000000">
          <w:rPr>
            <w:rFonts w:ascii="Calibri" w:cs="Calibri" w:eastAsia="Calibri" w:hAnsi="Calibri"/>
            <w:rtl w:val="0"/>
          </w:rPr>
          <w:t xml:space="preserve"> </w:t>
        </w:r>
      </w:hyperlink>
      <w:hyperlink r:id="rId11">
        <w:r w:rsidDel="00000000" w:rsidR="00000000" w:rsidRPr="00000000">
          <w:rPr>
            <w:rFonts w:ascii="Calibri" w:cs="Calibri" w:eastAsia="Calibri" w:hAnsi="Calibri"/>
            <w:color w:val="0563c1"/>
            <w:u w:val="single"/>
            <w:rtl w:val="0"/>
          </w:rPr>
          <w:t xml:space="preserve">@visitperu</w:t>
        </w:r>
      </w:hyperlink>
      <w:r w:rsidDel="00000000" w:rsidR="00000000" w:rsidRPr="00000000">
        <w:rPr>
          <w:rFonts w:ascii="Calibri" w:cs="Calibri" w:eastAsia="Calibri" w:hAnsi="Calibri"/>
          <w:rtl w:val="0"/>
        </w:rPr>
        <w:t xml:space="preserve"> | IG –</w:t>
      </w:r>
      <w:hyperlink r:id="rId12">
        <w:r w:rsidDel="00000000" w:rsidR="00000000" w:rsidRPr="00000000">
          <w:rPr>
            <w:rFonts w:ascii="Calibri" w:cs="Calibri" w:eastAsia="Calibri" w:hAnsi="Calibri"/>
            <w:rtl w:val="0"/>
          </w:rPr>
          <w:t xml:space="preserve"> </w:t>
        </w:r>
      </w:hyperlink>
      <w:hyperlink r:id="rId13">
        <w:r w:rsidDel="00000000" w:rsidR="00000000" w:rsidRPr="00000000">
          <w:rPr>
            <w:rFonts w:ascii="Calibri" w:cs="Calibri" w:eastAsia="Calibri" w:hAnsi="Calibri"/>
            <w:color w:val="0563c1"/>
            <w:u w:val="single"/>
            <w:rtl w:val="0"/>
          </w:rPr>
          <w:t xml:space="preserve">@peru</w:t>
        </w:r>
      </w:hyperlink>
      <w:r w:rsidDel="00000000" w:rsidR="00000000" w:rsidRPr="00000000">
        <w:rPr>
          <w:rtl w:val="0"/>
        </w:rPr>
      </w:r>
    </w:p>
    <w:sectPr>
      <w:headerReference r:id="rId14" w:type="default"/>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alibri"/>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0F">
    <w:pPr>
      <w:rPr/>
    </w:pPr>
    <w:r w:rsidDel="00000000" w:rsidR="00000000" w:rsidRPr="00000000">
      <w:rPr/>
      <w:drawing>
        <wp:inline distB="114300" distT="114300" distL="114300" distR="114300">
          <wp:extent cx="5731200" cy="660400"/>
          <wp:effectExtent b="0" l="0" r="0" t="0"/>
          <wp:docPr id="1155542457"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5731200" cy="660400"/>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it-IT"/>
      </w:rPr>
    </w:rPrDefault>
    <w:pPrDefault>
      <w:pPr>
        <w:spacing w:line="27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e" w:default="1">
    <w:name w:val="Normal"/>
    <w:qFormat w:val="1"/>
  </w:style>
  <w:style w:type="paragraph" w:styleId="Titolo1">
    <w:name w:val="heading 1"/>
    <w:basedOn w:val="Normale"/>
    <w:next w:val="Normale"/>
    <w:uiPriority w:val="9"/>
    <w:qFormat w:val="1"/>
    <w:pPr>
      <w:keepNext w:val="1"/>
      <w:keepLines w:val="1"/>
      <w:spacing w:after="120" w:before="400"/>
      <w:outlineLvl w:val="0"/>
    </w:pPr>
    <w:rPr>
      <w:sz w:val="40"/>
      <w:szCs w:val="40"/>
    </w:rPr>
  </w:style>
  <w:style w:type="paragraph" w:styleId="Titolo2">
    <w:name w:val="heading 2"/>
    <w:basedOn w:val="Normale"/>
    <w:next w:val="Normale"/>
    <w:uiPriority w:val="9"/>
    <w:semiHidden w:val="1"/>
    <w:unhideWhenUsed w:val="1"/>
    <w:qFormat w:val="1"/>
    <w:pPr>
      <w:keepNext w:val="1"/>
      <w:keepLines w:val="1"/>
      <w:spacing w:after="120" w:before="360"/>
      <w:outlineLvl w:val="1"/>
    </w:pPr>
    <w:rPr>
      <w:sz w:val="32"/>
      <w:szCs w:val="32"/>
    </w:rPr>
  </w:style>
  <w:style w:type="paragraph" w:styleId="Titolo3">
    <w:name w:val="heading 3"/>
    <w:basedOn w:val="Normale"/>
    <w:next w:val="Normale"/>
    <w:uiPriority w:val="9"/>
    <w:semiHidden w:val="1"/>
    <w:unhideWhenUsed w:val="1"/>
    <w:qFormat w:val="1"/>
    <w:pPr>
      <w:keepNext w:val="1"/>
      <w:keepLines w:val="1"/>
      <w:spacing w:after="80" w:before="320"/>
      <w:outlineLvl w:val="2"/>
    </w:pPr>
    <w:rPr>
      <w:color w:val="434343"/>
      <w:sz w:val="28"/>
      <w:szCs w:val="28"/>
    </w:rPr>
  </w:style>
  <w:style w:type="paragraph" w:styleId="Titolo4">
    <w:name w:val="heading 4"/>
    <w:basedOn w:val="Normale"/>
    <w:next w:val="Normale"/>
    <w:uiPriority w:val="9"/>
    <w:semiHidden w:val="1"/>
    <w:unhideWhenUsed w:val="1"/>
    <w:qFormat w:val="1"/>
    <w:pPr>
      <w:keepNext w:val="1"/>
      <w:keepLines w:val="1"/>
      <w:spacing w:after="80" w:before="280"/>
      <w:outlineLvl w:val="3"/>
    </w:pPr>
    <w:rPr>
      <w:color w:val="666666"/>
      <w:sz w:val="24"/>
      <w:szCs w:val="24"/>
    </w:rPr>
  </w:style>
  <w:style w:type="paragraph" w:styleId="Titolo5">
    <w:name w:val="heading 5"/>
    <w:basedOn w:val="Normale"/>
    <w:next w:val="Normale"/>
    <w:uiPriority w:val="9"/>
    <w:semiHidden w:val="1"/>
    <w:unhideWhenUsed w:val="1"/>
    <w:qFormat w:val="1"/>
    <w:pPr>
      <w:keepNext w:val="1"/>
      <w:keepLines w:val="1"/>
      <w:spacing w:after="80" w:before="240"/>
      <w:outlineLvl w:val="4"/>
    </w:pPr>
    <w:rPr>
      <w:color w:val="666666"/>
    </w:rPr>
  </w:style>
  <w:style w:type="paragraph" w:styleId="Titolo6">
    <w:name w:val="heading 6"/>
    <w:basedOn w:val="Normale"/>
    <w:next w:val="Normale"/>
    <w:uiPriority w:val="9"/>
    <w:semiHidden w:val="1"/>
    <w:unhideWhenUsed w:val="1"/>
    <w:qFormat w:val="1"/>
    <w:pPr>
      <w:keepNext w:val="1"/>
      <w:keepLines w:val="1"/>
      <w:spacing w:after="80" w:before="240"/>
      <w:outlineLvl w:val="5"/>
    </w:pPr>
    <w:rPr>
      <w:i w:val="1"/>
      <w:color w:val="666666"/>
    </w:rPr>
  </w:style>
  <w:style w:type="character" w:styleId="Carpredefinitoparagrafo" w:default="1">
    <w:name w:val="Default Paragraph Font"/>
    <w:uiPriority w:val="1"/>
    <w:unhideWhenUsed w:val="1"/>
  </w:style>
  <w:style w:type="table" w:styleId="Tabellanormale" w:default="1">
    <w:name w:val="Normal Table"/>
    <w:uiPriority w:val="99"/>
    <w:semiHidden w:val="1"/>
    <w:unhideWhenUsed w:val="1"/>
    <w:tblPr>
      <w:tblInd w:w="0.0" w:type="dxa"/>
      <w:tblCellMar>
        <w:top w:w="0.0" w:type="dxa"/>
        <w:left w:w="108.0" w:type="dxa"/>
        <w:bottom w:w="0.0" w:type="dxa"/>
        <w:right w:w="108.0" w:type="dxa"/>
      </w:tblCellMar>
    </w:tblPr>
  </w:style>
  <w:style w:type="numbering" w:styleId="Nessunelenco"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itolo">
    <w:name w:val="Title"/>
    <w:basedOn w:val="Normale"/>
    <w:next w:val="Normale"/>
    <w:uiPriority w:val="10"/>
    <w:qFormat w:val="1"/>
    <w:pPr>
      <w:keepNext w:val="1"/>
      <w:keepLines w:val="1"/>
      <w:spacing w:after="60"/>
    </w:pPr>
    <w:rPr>
      <w:sz w:val="52"/>
      <w:szCs w:val="52"/>
    </w:rPr>
  </w:style>
  <w:style w:type="table" w:styleId="TableNormal0" w:customStyle="1">
    <w:name w:val="Table Normal"/>
    <w:tblPr>
      <w:tblCellMar>
        <w:top w:w="0.0" w:type="dxa"/>
        <w:left w:w="0.0" w:type="dxa"/>
        <w:bottom w:w="0.0" w:type="dxa"/>
        <w:right w:w="0.0" w:type="dxa"/>
      </w:tblCellMar>
    </w:tblPr>
  </w:style>
  <w:style w:type="table" w:styleId="TableNormal1" w:customStyle="1">
    <w:name w:val="Table Normal"/>
    <w:tblPr>
      <w:tblCellMar>
        <w:top w:w="0.0" w:type="dxa"/>
        <w:left w:w="0.0" w:type="dxa"/>
        <w:bottom w:w="0.0" w:type="dxa"/>
        <w:right w:w="0.0" w:type="dxa"/>
      </w:tblCellMar>
    </w:tblPr>
  </w:style>
  <w:style w:type="table" w:styleId="TableNormal2" w:customStyle="1">
    <w:name w:val="Table Normal"/>
    <w:tblPr>
      <w:tblCellMar>
        <w:top w:w="0.0" w:type="dxa"/>
        <w:left w:w="0.0" w:type="dxa"/>
        <w:bottom w:w="0.0" w:type="dxa"/>
        <w:right w:w="0.0" w:type="dxa"/>
      </w:tblCellMar>
    </w:tblPr>
  </w:style>
  <w:style w:type="paragraph" w:styleId="Sottotitolo">
    <w:name w:val="Subtitle"/>
    <w:basedOn w:val="Normale"/>
    <w:next w:val="Normale"/>
    <w:uiPriority w:val="11"/>
    <w:qFormat w:val="1"/>
    <w:pPr>
      <w:keepNext w:val="1"/>
      <w:keepLines w:val="1"/>
      <w:spacing w:after="320"/>
    </w:pPr>
    <w:rPr>
      <w:color w:val="666666"/>
      <w:sz w:val="30"/>
      <w:szCs w:val="30"/>
    </w:rPr>
  </w:style>
  <w:style w:type="character" w:styleId="Collegamentoipertestuale">
    <w:name w:val="Hyperlink"/>
    <w:basedOn w:val="Carpredefinitoparagrafo"/>
    <w:uiPriority w:val="99"/>
    <w:unhideWhenUsed w:val="1"/>
    <w:rsid w:val="00CB7620"/>
    <w:rPr>
      <w:color w:val="0000ff" w:themeColor="hyperlink"/>
      <w:u w:val="single"/>
    </w:rPr>
  </w:style>
  <w:style w:type="character" w:styleId="Menzionenonrisolta">
    <w:name w:val="Unresolved Mention"/>
    <w:basedOn w:val="Carpredefinitoparagrafo"/>
    <w:uiPriority w:val="99"/>
    <w:semiHidden w:val="1"/>
    <w:unhideWhenUsed w:val="1"/>
    <w:rsid w:val="00CB7620"/>
    <w:rPr>
      <w:color w:val="605e5c"/>
      <w:shd w:color="auto" w:fill="e1dfdd" w:val="clear"/>
    </w:rPr>
  </w:style>
  <w:style w:type="paragraph" w:styleId="NormaleWeb">
    <w:name w:val="Normal (Web)"/>
    <w:basedOn w:val="Normale"/>
    <w:uiPriority w:val="99"/>
    <w:semiHidden w:val="1"/>
    <w:unhideWhenUsed w:val="1"/>
    <w:rsid w:val="00190972"/>
    <w:rPr>
      <w:rFonts w:ascii="Times New Roman" w:cs="Times New Roman" w:hAnsi="Times New Roman"/>
      <w:sz w:val="24"/>
      <w:szCs w:val="24"/>
    </w:rPr>
  </w:style>
  <w:style w:type="paragraph" w:styleId="Subtitle">
    <w:name w:val="Subtitle"/>
    <w:basedOn w:val="Normal"/>
    <w:next w:val="Normal"/>
    <w:pPr>
      <w:keepNext w:val="1"/>
      <w:keepLines w:val="1"/>
      <w:spacing w:after="320" w:lineRule="auto"/>
    </w:pPr>
    <w:rPr>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hyperlink" Target="https://www.facebook.com/visitperu" TargetMode="External"/><Relationship Id="rId10" Type="http://schemas.openxmlformats.org/officeDocument/2006/relationships/hyperlink" Target="https://www.facebook.com/visitperu" TargetMode="External"/><Relationship Id="rId13" Type="http://schemas.openxmlformats.org/officeDocument/2006/relationships/hyperlink" Target="https://www.instagram.com/peru/" TargetMode="External"/><Relationship Id="rId12" Type="http://schemas.openxmlformats.org/officeDocument/2006/relationships/hyperlink" Target="https://www.instagram.com/peru/"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www.peru.travel/it" TargetMode="External"/><Relationship Id="rId14"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png"/><Relationship Id="rId8" Type="http://schemas.openxmlformats.org/officeDocument/2006/relationships/hyperlink" Target="https://andendecontenidos.promperu.gob.pe/app/#/s/_cLjt7YoKc"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EUn65AGOeFzVF+cc0FTpl+vNhg==">CgMxLjA4AGokChRzdWdnZXN0LjF4bWtkb2Z6OW56cRIMRGFsaWEgQWN1w7FhaiIKEnN1Z2dlc3QuZGFtZ2luMG5kcRIMRGFsaWEgQWN1w7FhaiQKFHN1Z2dlc3QuYzhpMHlqMm4yM3F0EgxEYWxpYSBBY3XDsWFqJAoUc3VnZ2VzdC5rdXhuaHo4aHUzdnQSDERhbGlhIEFjdcOxYWokChRzdWdnZXN0Lmg4NzZlZ2RmNDcydxIMRGFsaWEgQWN1w7FhaiMKE3N1Z2dlc3Qua2JrNjUxa3I4cGoSDERhbGlhIEFjdcOxYWokChRzdWdnZXN0Ljd6azFoeHZ3ejhqMBIMRGFsaWEgQWN1w7FhciExUjRKTE9FUUdjTC1rQnFaUDNZZ0RzVHg4bnJxNTFkdDk=</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2025-02-18T11:26:00Z</dcterms:creat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8d639237-d9b4-469b-bcaf-cfa29af3af76</vt:lpwstr>
  </property>
</Properties>
</file>