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4A5BE" w14:textId="3F2B0242" w:rsidR="00A81F09" w:rsidRDefault="007F0D74" w:rsidP="006963A9">
      <w:pPr>
        <w:spacing w:after="0" w:line="276" w:lineRule="auto"/>
        <w:rPr>
          <w:rFonts w:ascii="Acto CTT Book" w:hAnsi="Acto CTT Book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4391951E" wp14:editId="6506BF23">
            <wp:simplePos x="0" y="0"/>
            <wp:positionH relativeFrom="page">
              <wp:posOffset>-7620</wp:posOffset>
            </wp:positionH>
            <wp:positionV relativeFrom="page">
              <wp:align>top</wp:align>
            </wp:positionV>
            <wp:extent cx="7551420" cy="1497965"/>
            <wp:effectExtent l="0" t="0" r="0" b="6985"/>
            <wp:wrapSquare wrapText="bothSides"/>
            <wp:docPr id="2" name="Pictur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1420" cy="1497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975189" w14:textId="77777777" w:rsidR="0093247C" w:rsidRPr="00E81457" w:rsidRDefault="001B7F2C" w:rsidP="006963A9">
      <w:pPr>
        <w:spacing w:after="0" w:line="276" w:lineRule="auto"/>
        <w:rPr>
          <w:rFonts w:ascii="Acto CTT" w:hAnsi="Acto CTT"/>
          <w:b/>
          <w:bCs/>
          <w:color w:val="FF0000"/>
          <w:sz w:val="32"/>
          <w:szCs w:val="32"/>
        </w:rPr>
      </w:pPr>
      <w:r w:rsidRPr="00E81457">
        <w:rPr>
          <w:rFonts w:ascii="Acto CTT" w:hAnsi="Acto CTT"/>
          <w:b/>
          <w:bCs/>
          <w:color w:val="FF0000"/>
          <w:sz w:val="32"/>
          <w:szCs w:val="32"/>
        </w:rPr>
        <w:t>NOTA DE PRENSA</w:t>
      </w:r>
    </w:p>
    <w:p w14:paraId="791FDF64" w14:textId="043EAED9" w:rsidR="00E02A24" w:rsidRDefault="00E02A24" w:rsidP="00E02A24">
      <w:pPr>
        <w:spacing w:after="0" w:line="276" w:lineRule="auto"/>
        <w:rPr>
          <w:rFonts w:ascii="Acto CTT Book" w:hAnsi="Acto CTT Book"/>
          <w:color w:val="000000"/>
          <w:sz w:val="23"/>
          <w:szCs w:val="23"/>
        </w:rPr>
      </w:pPr>
      <w:r w:rsidRPr="00E81457">
        <w:rPr>
          <w:rFonts w:ascii="Acto CTT Book" w:hAnsi="Acto CTT Book"/>
          <w:color w:val="000000"/>
          <w:sz w:val="23"/>
          <w:szCs w:val="23"/>
        </w:rPr>
        <w:t xml:space="preserve">Madrid, </w:t>
      </w:r>
      <w:r w:rsidR="00D43974">
        <w:rPr>
          <w:rFonts w:ascii="Acto CTT Book" w:hAnsi="Acto CTT Book"/>
          <w:color w:val="000000"/>
          <w:sz w:val="23"/>
          <w:szCs w:val="23"/>
        </w:rPr>
        <w:t>mayo</w:t>
      </w:r>
      <w:r w:rsidR="00D43974" w:rsidRPr="00E81457">
        <w:rPr>
          <w:rFonts w:ascii="Acto CTT Book" w:hAnsi="Acto CTT Book"/>
          <w:color w:val="000000"/>
          <w:sz w:val="23"/>
          <w:szCs w:val="23"/>
        </w:rPr>
        <w:t xml:space="preserve"> </w:t>
      </w:r>
      <w:r w:rsidRPr="00E81457">
        <w:rPr>
          <w:rFonts w:ascii="Acto CTT Book" w:hAnsi="Acto CTT Book"/>
          <w:color w:val="000000"/>
          <w:sz w:val="23"/>
          <w:szCs w:val="23"/>
        </w:rPr>
        <w:t>de 202</w:t>
      </w:r>
      <w:r w:rsidR="00D43974">
        <w:rPr>
          <w:rFonts w:ascii="Acto CTT Book" w:hAnsi="Acto CTT Book"/>
          <w:color w:val="000000"/>
          <w:sz w:val="23"/>
          <w:szCs w:val="23"/>
        </w:rPr>
        <w:t>5</w:t>
      </w:r>
    </w:p>
    <w:p w14:paraId="56C9EB60" w14:textId="12BFA06E" w:rsidR="00752672" w:rsidRDefault="00752672" w:rsidP="001E1E2C">
      <w:pPr>
        <w:spacing w:after="0" w:line="276" w:lineRule="auto"/>
        <w:rPr>
          <w:rFonts w:ascii="Acto CTT Book" w:hAnsi="Acto CTT Book"/>
          <w:color w:val="000000"/>
          <w:sz w:val="23"/>
          <w:szCs w:val="23"/>
        </w:rPr>
      </w:pPr>
    </w:p>
    <w:p w14:paraId="3A36067F" w14:textId="5B2EDAE8" w:rsidR="00F27F09" w:rsidRDefault="007F240E" w:rsidP="007F240E">
      <w:pPr>
        <w:spacing w:after="0" w:line="276" w:lineRule="auto"/>
        <w:jc w:val="center"/>
        <w:rPr>
          <w:rFonts w:ascii="Acto CTT Bold" w:hAnsi="Acto CTT Bold"/>
          <w:b/>
          <w:color w:val="000000"/>
          <w:spacing w:val="-16"/>
          <w:sz w:val="40"/>
          <w:szCs w:val="40"/>
        </w:rPr>
      </w:pPr>
      <w:r w:rsidRPr="007F240E">
        <w:rPr>
          <w:rFonts w:ascii="Acto CTT Bold" w:hAnsi="Acto CTT Bold"/>
          <w:b/>
          <w:color w:val="000000"/>
          <w:spacing w:val="-16"/>
          <w:sz w:val="40"/>
          <w:szCs w:val="40"/>
        </w:rPr>
        <w:t>CTT incrementa un 23% su facturación en paquetería urgente durante el primer trimestre del año</w:t>
      </w:r>
    </w:p>
    <w:p w14:paraId="1CA89187" w14:textId="77777777" w:rsidR="007F240E" w:rsidRPr="00750E3E" w:rsidRDefault="007F240E" w:rsidP="000158AD">
      <w:pPr>
        <w:spacing w:after="0" w:line="276" w:lineRule="auto"/>
        <w:rPr>
          <w:rFonts w:ascii="Acto CTT Book" w:hAnsi="Acto CTT Book" w:cs="Arial"/>
          <w:sz w:val="23"/>
          <w:szCs w:val="23"/>
          <w:u w:val="single"/>
        </w:rPr>
      </w:pPr>
    </w:p>
    <w:p w14:paraId="5969011A" w14:textId="3E5CCCD8" w:rsidR="00727F19" w:rsidRPr="002C3F7C" w:rsidRDefault="00727F19" w:rsidP="00727F19">
      <w:pPr>
        <w:jc w:val="center"/>
        <w:rPr>
          <w:rFonts w:ascii="Acto CTT Book" w:hAnsi="Acto CTT Book" w:cs="Arial"/>
          <w:sz w:val="23"/>
          <w:szCs w:val="23"/>
        </w:rPr>
      </w:pPr>
      <w:r w:rsidRPr="00727F19">
        <w:rPr>
          <w:rFonts w:ascii="Acto CTT Book" w:hAnsi="Acto CTT Book" w:cs="Arial"/>
          <w:sz w:val="23"/>
          <w:szCs w:val="23"/>
        </w:rPr>
        <w:t xml:space="preserve">La compañía </w:t>
      </w:r>
      <w:r w:rsidR="007F240E">
        <w:rPr>
          <w:rFonts w:ascii="Acto CTT Book" w:hAnsi="Acto CTT Book" w:cs="Arial"/>
          <w:sz w:val="23"/>
          <w:szCs w:val="23"/>
        </w:rPr>
        <w:t xml:space="preserve">alcanza </w:t>
      </w:r>
      <w:r w:rsidR="007F240E" w:rsidRPr="007F240E">
        <w:rPr>
          <w:rFonts w:ascii="Acto CTT Book" w:hAnsi="Acto CTT Book" w:cs="Arial"/>
          <w:sz w:val="23"/>
          <w:szCs w:val="23"/>
        </w:rPr>
        <w:t xml:space="preserve">un volumen de más de </w:t>
      </w:r>
      <w:r w:rsidR="007F240E" w:rsidRPr="007F240E">
        <w:rPr>
          <w:rFonts w:ascii="Acto CTT Book" w:hAnsi="Acto CTT Book" w:cs="Arial"/>
          <w:b/>
          <w:bCs/>
          <w:sz w:val="23"/>
          <w:szCs w:val="23"/>
        </w:rPr>
        <w:t>34 millones de envíos</w:t>
      </w:r>
      <w:r w:rsidR="007F240E" w:rsidRPr="007F240E">
        <w:rPr>
          <w:rFonts w:ascii="Acto CTT Book" w:hAnsi="Acto CTT Book" w:cs="Arial"/>
          <w:sz w:val="23"/>
          <w:szCs w:val="23"/>
        </w:rPr>
        <w:t xml:space="preserve"> en España y Portugal</w:t>
      </w:r>
    </w:p>
    <w:p w14:paraId="3E42C6D1" w14:textId="2EC3821D" w:rsidR="00EF0421" w:rsidRDefault="00EF0421" w:rsidP="00D43974">
      <w:pPr>
        <w:spacing w:after="0" w:line="276" w:lineRule="auto"/>
        <w:jc w:val="center"/>
        <w:rPr>
          <w:rFonts w:ascii="Acto CTT Book" w:hAnsi="Acto CTT Book" w:cs="Arial"/>
          <w:sz w:val="23"/>
          <w:szCs w:val="23"/>
        </w:rPr>
      </w:pPr>
    </w:p>
    <w:p w14:paraId="51B19BA9" w14:textId="2F90DECF" w:rsidR="00727F19" w:rsidRPr="007F240E" w:rsidRDefault="00727F19" w:rsidP="00727F19">
      <w:pPr>
        <w:jc w:val="both"/>
        <w:rPr>
          <w:rFonts w:ascii="Acto CTT Book" w:hAnsi="Acto CTT Book" w:cs="Arial"/>
          <w:b/>
          <w:bCs/>
          <w:sz w:val="23"/>
          <w:szCs w:val="23"/>
        </w:rPr>
      </w:pPr>
      <w:r w:rsidRPr="00D43974">
        <w:rPr>
          <w:rFonts w:ascii="Acto CTT Book" w:hAnsi="Acto CTT Book" w:cs="Arial"/>
          <w:sz w:val="23"/>
          <w:szCs w:val="23"/>
        </w:rPr>
        <w:t xml:space="preserve">CTT Express, </w:t>
      </w:r>
      <w:r w:rsidR="007F240E">
        <w:rPr>
          <w:rFonts w:ascii="Acto CTT Book" w:hAnsi="Acto CTT Book" w:cs="Arial"/>
          <w:sz w:val="23"/>
          <w:szCs w:val="23"/>
        </w:rPr>
        <w:t xml:space="preserve">anuncia un aumento del </w:t>
      </w:r>
      <w:r w:rsidR="007F240E" w:rsidRPr="007F240E">
        <w:rPr>
          <w:rFonts w:ascii="Acto CTT Book" w:hAnsi="Acto CTT Book" w:cs="Arial"/>
          <w:b/>
          <w:bCs/>
          <w:sz w:val="23"/>
          <w:szCs w:val="23"/>
        </w:rPr>
        <w:t>23%</w:t>
      </w:r>
      <w:r w:rsidR="007F240E">
        <w:rPr>
          <w:rFonts w:ascii="Acto CTT Book" w:hAnsi="Acto CTT Book" w:cs="Arial"/>
          <w:b/>
          <w:bCs/>
          <w:sz w:val="23"/>
          <w:szCs w:val="23"/>
        </w:rPr>
        <w:t xml:space="preserve"> </w:t>
      </w:r>
      <w:r w:rsidR="007F240E" w:rsidRPr="0001395B">
        <w:rPr>
          <w:rFonts w:ascii="Acto CTT Book" w:hAnsi="Acto CTT Book" w:cs="Arial"/>
          <w:sz w:val="23"/>
          <w:szCs w:val="23"/>
        </w:rPr>
        <w:t>en la facturación del área de paquetería urgente del Grupo CTT</w:t>
      </w:r>
      <w:r w:rsidR="0001395B" w:rsidRPr="0001395B">
        <w:rPr>
          <w:rFonts w:ascii="Acto CTT Book" w:hAnsi="Acto CTT Book" w:cs="Arial"/>
          <w:sz w:val="23"/>
          <w:szCs w:val="23"/>
        </w:rPr>
        <w:t xml:space="preserve"> en el primer</w:t>
      </w:r>
      <w:r w:rsidR="0001395B" w:rsidRPr="00A50531">
        <w:rPr>
          <w:rFonts w:ascii="Acto CTT Book" w:hAnsi="Acto CTT Book" w:cs="Arial"/>
          <w:color w:val="FF0000"/>
          <w:sz w:val="23"/>
          <w:szCs w:val="23"/>
        </w:rPr>
        <w:t xml:space="preserve"> </w:t>
      </w:r>
      <w:r w:rsidR="00A50531">
        <w:rPr>
          <w:rFonts w:ascii="Acto CTT Book" w:hAnsi="Acto CTT Book" w:cs="Arial"/>
          <w:sz w:val="23"/>
          <w:szCs w:val="23"/>
        </w:rPr>
        <w:t xml:space="preserve">trimestre </w:t>
      </w:r>
      <w:r w:rsidR="0001395B" w:rsidRPr="0001395B">
        <w:rPr>
          <w:rFonts w:ascii="Acto CTT Book" w:hAnsi="Acto CTT Book" w:cs="Arial"/>
          <w:sz w:val="23"/>
          <w:szCs w:val="23"/>
        </w:rPr>
        <w:t>del año</w:t>
      </w:r>
      <w:r w:rsidR="007F240E">
        <w:rPr>
          <w:rFonts w:ascii="Acto CTT Book" w:hAnsi="Acto CTT Book" w:cs="Arial"/>
          <w:b/>
          <w:bCs/>
          <w:sz w:val="23"/>
          <w:szCs w:val="23"/>
        </w:rPr>
        <w:t xml:space="preserve">. </w:t>
      </w:r>
      <w:r w:rsidRPr="00D43974">
        <w:rPr>
          <w:rFonts w:ascii="Acto CTT Book" w:hAnsi="Acto CTT Book" w:cs="Arial"/>
          <w:sz w:val="23"/>
          <w:szCs w:val="23"/>
        </w:rPr>
        <w:t>Esta cifra consolida una sólida tendencia positiva, fruto del aumento del comercio electrónico, la adopción de soluciones de entrega rápidas y eficientes, así como la modernización de la red de distribución y su apuesta por la diversificación de servicios.</w:t>
      </w:r>
    </w:p>
    <w:p w14:paraId="53543EE8" w14:textId="0A14A8F2" w:rsidR="00727F19" w:rsidRPr="00D43974" w:rsidRDefault="007F240E" w:rsidP="00727F19">
      <w:pPr>
        <w:jc w:val="both"/>
        <w:rPr>
          <w:rFonts w:ascii="Acto CTT Book" w:hAnsi="Acto CTT Book" w:cs="Arial"/>
          <w:sz w:val="23"/>
          <w:szCs w:val="23"/>
        </w:rPr>
      </w:pPr>
      <w:r w:rsidRPr="79F923B7">
        <w:rPr>
          <w:rFonts w:ascii="Acto CTT Book" w:hAnsi="Acto CTT Book" w:cs="Arial"/>
          <w:sz w:val="23"/>
          <w:szCs w:val="23"/>
        </w:rPr>
        <w:t>De esta forma, a</w:t>
      </w:r>
      <w:r w:rsidR="00727F19" w:rsidRPr="79F923B7">
        <w:rPr>
          <w:rFonts w:ascii="Acto CTT Book" w:hAnsi="Acto CTT Book" w:cs="Arial"/>
          <w:sz w:val="23"/>
          <w:szCs w:val="23"/>
        </w:rPr>
        <w:t xml:space="preserve"> nivel ibérico, los ingresos operativos </w:t>
      </w:r>
      <w:r w:rsidRPr="79F923B7">
        <w:rPr>
          <w:rFonts w:ascii="Acto CTT Book" w:hAnsi="Acto CTT Book" w:cs="Arial"/>
          <w:sz w:val="23"/>
          <w:szCs w:val="23"/>
        </w:rPr>
        <w:t>han alcanzado</w:t>
      </w:r>
      <w:r w:rsidR="00727F19" w:rsidRPr="79F923B7">
        <w:rPr>
          <w:rFonts w:ascii="Acto CTT Book" w:hAnsi="Acto CTT Book" w:cs="Arial"/>
          <w:sz w:val="23"/>
          <w:szCs w:val="23"/>
        </w:rPr>
        <w:t xml:space="preserve"> los </w:t>
      </w:r>
      <w:r w:rsidR="00727F19" w:rsidRPr="79F923B7">
        <w:rPr>
          <w:rFonts w:ascii="Acto CTT Book" w:hAnsi="Acto CTT Book" w:cs="Arial"/>
          <w:b/>
          <w:bCs/>
          <w:sz w:val="23"/>
          <w:szCs w:val="23"/>
        </w:rPr>
        <w:t>124,7 millones de euros</w:t>
      </w:r>
      <w:r w:rsidR="00727F19" w:rsidRPr="79F923B7">
        <w:rPr>
          <w:rFonts w:ascii="Acto CTT Book" w:hAnsi="Acto CTT Book" w:cs="Arial"/>
          <w:sz w:val="23"/>
          <w:szCs w:val="23"/>
        </w:rPr>
        <w:t xml:space="preserve">, gracias a un volumen de más de </w:t>
      </w:r>
      <w:r w:rsidR="00727F19" w:rsidRPr="79F923B7">
        <w:rPr>
          <w:rFonts w:ascii="Acto CTT Book" w:hAnsi="Acto CTT Book" w:cs="Arial"/>
          <w:b/>
          <w:bCs/>
          <w:sz w:val="23"/>
          <w:szCs w:val="23"/>
        </w:rPr>
        <w:t>34 millones de envíos</w:t>
      </w:r>
      <w:r w:rsidR="00727F19" w:rsidRPr="79F923B7">
        <w:rPr>
          <w:rFonts w:ascii="Acto CTT Book" w:hAnsi="Acto CTT Book" w:cs="Arial"/>
          <w:sz w:val="23"/>
          <w:szCs w:val="23"/>
        </w:rPr>
        <w:t xml:space="preserve"> en España y Portugal, un </w:t>
      </w:r>
      <w:r w:rsidR="00727F19" w:rsidRPr="79F923B7">
        <w:rPr>
          <w:rFonts w:ascii="Acto CTT Book" w:hAnsi="Acto CTT Book" w:cs="Arial"/>
          <w:b/>
          <w:bCs/>
          <w:sz w:val="23"/>
          <w:szCs w:val="23"/>
        </w:rPr>
        <w:t>15%</w:t>
      </w:r>
      <w:r w:rsidR="00727F19" w:rsidRPr="79F923B7">
        <w:rPr>
          <w:rFonts w:ascii="Acto CTT Book" w:hAnsi="Acto CTT Book" w:cs="Arial"/>
          <w:sz w:val="23"/>
          <w:szCs w:val="23"/>
        </w:rPr>
        <w:t xml:space="preserve"> más que en el mismo periodo del año anterior. Esto representa una media diaria de </w:t>
      </w:r>
      <w:r w:rsidR="00727F19" w:rsidRPr="79F923B7">
        <w:rPr>
          <w:rFonts w:ascii="Acto CTT Book" w:hAnsi="Acto CTT Book" w:cs="Arial"/>
          <w:b/>
          <w:bCs/>
          <w:sz w:val="23"/>
          <w:szCs w:val="23"/>
        </w:rPr>
        <w:t xml:space="preserve">560.000 objetos </w:t>
      </w:r>
      <w:r w:rsidR="00727F19" w:rsidRPr="79F923B7">
        <w:rPr>
          <w:rFonts w:ascii="Acto CTT Book" w:hAnsi="Acto CTT Book" w:cs="Arial"/>
          <w:sz w:val="23"/>
          <w:szCs w:val="23"/>
        </w:rPr>
        <w:t>entregados.</w:t>
      </w:r>
    </w:p>
    <w:p w14:paraId="58947492" w14:textId="07C897B9" w:rsidR="1C463170" w:rsidRDefault="1C463170" w:rsidP="79F923B7">
      <w:pPr>
        <w:jc w:val="both"/>
        <w:rPr>
          <w:rFonts w:ascii="Acto CTT Book" w:hAnsi="Acto CTT Book" w:cs="Arial"/>
          <w:sz w:val="23"/>
          <w:szCs w:val="23"/>
        </w:rPr>
      </w:pPr>
      <w:r w:rsidRPr="79F923B7">
        <w:rPr>
          <w:rFonts w:ascii="Acto CTT Book" w:hAnsi="Acto CTT Book" w:cs="Arial"/>
          <w:sz w:val="23"/>
          <w:szCs w:val="23"/>
        </w:rPr>
        <w:t>Además, e</w:t>
      </w:r>
      <w:r w:rsidR="1A25F0BC" w:rsidRPr="79F923B7">
        <w:rPr>
          <w:rFonts w:ascii="Acto CTT Book" w:hAnsi="Acto CTT Book" w:cs="Arial"/>
          <w:sz w:val="23"/>
          <w:szCs w:val="23"/>
        </w:rPr>
        <w:t xml:space="preserve">n línea con su compromiso con el desarrollo del comercio electrónico, CTT ha seguido ampliando su red de </w:t>
      </w:r>
      <w:proofErr w:type="spellStart"/>
      <w:r w:rsidR="1A25F0BC" w:rsidRPr="79F923B7">
        <w:rPr>
          <w:rFonts w:ascii="Acto CTT Book" w:hAnsi="Acto CTT Book" w:cs="Arial"/>
          <w:sz w:val="23"/>
          <w:szCs w:val="23"/>
        </w:rPr>
        <w:t>lockers</w:t>
      </w:r>
      <w:proofErr w:type="spellEnd"/>
      <w:r w:rsidR="1A25F0BC" w:rsidRPr="79F923B7">
        <w:rPr>
          <w:rFonts w:ascii="Acto CTT Book" w:hAnsi="Acto CTT Book" w:cs="Arial"/>
          <w:sz w:val="23"/>
          <w:szCs w:val="23"/>
        </w:rPr>
        <w:t xml:space="preserve"> y puntos de conveniencia en ambos países. Por un lado, gracias a </w:t>
      </w:r>
      <w:proofErr w:type="spellStart"/>
      <w:r w:rsidR="1A25F0BC" w:rsidRPr="79F923B7">
        <w:rPr>
          <w:rFonts w:ascii="Acto CTT Book" w:hAnsi="Acto CTT Book" w:cs="Arial"/>
          <w:sz w:val="23"/>
          <w:szCs w:val="23"/>
        </w:rPr>
        <w:t>Locky</w:t>
      </w:r>
      <w:proofErr w:type="spellEnd"/>
      <w:r w:rsidR="1A25F0BC" w:rsidRPr="79F923B7">
        <w:rPr>
          <w:rFonts w:ascii="Acto CTT Book" w:hAnsi="Acto CTT Book" w:cs="Arial"/>
          <w:sz w:val="23"/>
          <w:szCs w:val="23"/>
        </w:rPr>
        <w:t xml:space="preserve">, su red de </w:t>
      </w:r>
      <w:proofErr w:type="spellStart"/>
      <w:r w:rsidR="1A25F0BC" w:rsidRPr="79F923B7">
        <w:rPr>
          <w:rFonts w:ascii="Acto CTT Book" w:hAnsi="Acto CTT Book" w:cs="Arial"/>
          <w:sz w:val="23"/>
          <w:szCs w:val="23"/>
        </w:rPr>
        <w:t>lockers</w:t>
      </w:r>
      <w:proofErr w:type="spellEnd"/>
      <w:r w:rsidR="1A25F0BC" w:rsidRPr="79F923B7">
        <w:rPr>
          <w:rFonts w:ascii="Acto CTT Book" w:hAnsi="Acto CTT Book" w:cs="Arial"/>
          <w:sz w:val="23"/>
          <w:szCs w:val="23"/>
        </w:rPr>
        <w:t xml:space="preserve">, que suman ya </w:t>
      </w:r>
      <w:r w:rsidR="1A25F0BC" w:rsidRPr="79F923B7">
        <w:rPr>
          <w:rFonts w:ascii="Acto CTT Book" w:hAnsi="Acto CTT Book" w:cs="Arial"/>
          <w:b/>
          <w:bCs/>
          <w:sz w:val="23"/>
          <w:szCs w:val="23"/>
        </w:rPr>
        <w:t>1077</w:t>
      </w:r>
      <w:r w:rsidR="1A25F0BC" w:rsidRPr="79F923B7">
        <w:rPr>
          <w:rFonts w:ascii="Acto CTT Book" w:hAnsi="Acto CTT Book" w:cs="Arial"/>
          <w:sz w:val="23"/>
          <w:szCs w:val="23"/>
        </w:rPr>
        <w:t xml:space="preserve">. Y por otro, CTT sigue consolidándose como la mayor red de puntos de conveniencia al contar con más de </w:t>
      </w:r>
      <w:r w:rsidR="1A25F0BC" w:rsidRPr="79F923B7">
        <w:rPr>
          <w:rFonts w:ascii="Acto CTT Book" w:hAnsi="Acto CTT Book" w:cs="Arial"/>
          <w:b/>
          <w:bCs/>
          <w:sz w:val="23"/>
          <w:szCs w:val="23"/>
        </w:rPr>
        <w:t>23.000</w:t>
      </w:r>
      <w:r w:rsidR="1A25F0BC" w:rsidRPr="79F923B7">
        <w:rPr>
          <w:rFonts w:ascii="Acto CTT Book" w:hAnsi="Acto CTT Book" w:cs="Arial"/>
          <w:sz w:val="23"/>
          <w:szCs w:val="23"/>
        </w:rPr>
        <w:t xml:space="preserve"> puntos </w:t>
      </w:r>
      <w:proofErr w:type="spellStart"/>
      <w:r w:rsidR="1A25F0BC" w:rsidRPr="79F923B7">
        <w:rPr>
          <w:rFonts w:ascii="Acto CTT Book" w:hAnsi="Acto CTT Book" w:cs="Arial"/>
          <w:sz w:val="23"/>
          <w:szCs w:val="23"/>
        </w:rPr>
        <w:t>Collectt</w:t>
      </w:r>
      <w:proofErr w:type="spellEnd"/>
      <w:r w:rsidR="1A25F0BC" w:rsidRPr="79F923B7">
        <w:rPr>
          <w:rFonts w:ascii="Acto CTT Book" w:hAnsi="Acto CTT Book" w:cs="Arial"/>
          <w:sz w:val="23"/>
          <w:szCs w:val="23"/>
        </w:rPr>
        <w:t xml:space="preserve"> en toda la península.  </w:t>
      </w:r>
    </w:p>
    <w:p w14:paraId="1DE7B2B5" w14:textId="63C06D95" w:rsidR="004B529F" w:rsidRPr="00D43974" w:rsidRDefault="678670CB" w:rsidP="79F923B7">
      <w:pPr>
        <w:jc w:val="both"/>
        <w:rPr>
          <w:rFonts w:ascii="Acto CTT Book" w:hAnsi="Acto CTT Book" w:cs="Arial"/>
          <w:sz w:val="23"/>
          <w:szCs w:val="23"/>
        </w:rPr>
      </w:pPr>
      <w:r w:rsidRPr="79F923B7">
        <w:rPr>
          <w:rFonts w:ascii="Acto CTT Book" w:hAnsi="Acto CTT Book" w:cs="Arial"/>
          <w:sz w:val="23"/>
          <w:szCs w:val="23"/>
        </w:rPr>
        <w:t>Por su parte, e</w:t>
      </w:r>
      <w:r w:rsidR="00727F19" w:rsidRPr="79F923B7">
        <w:rPr>
          <w:rFonts w:ascii="Acto CTT Book" w:hAnsi="Acto CTT Book" w:cs="Arial"/>
          <w:sz w:val="23"/>
          <w:szCs w:val="23"/>
        </w:rPr>
        <w:t>l servicio de despacho de aduanas</w:t>
      </w:r>
      <w:r w:rsidR="004B529F" w:rsidRPr="79F923B7">
        <w:rPr>
          <w:rFonts w:ascii="Acto CTT Book" w:hAnsi="Acto CTT Book" w:cs="Arial"/>
          <w:sz w:val="23"/>
          <w:szCs w:val="23"/>
        </w:rPr>
        <w:t xml:space="preserve"> de CTT</w:t>
      </w:r>
      <w:r w:rsidR="00727F19" w:rsidRPr="79F923B7">
        <w:rPr>
          <w:rFonts w:ascii="Acto CTT Book" w:hAnsi="Acto CTT Book" w:cs="Arial"/>
          <w:sz w:val="23"/>
          <w:szCs w:val="23"/>
        </w:rPr>
        <w:t xml:space="preserve"> </w:t>
      </w:r>
      <w:r w:rsidR="004B529F" w:rsidRPr="79F923B7">
        <w:rPr>
          <w:rFonts w:ascii="Acto CTT Book" w:hAnsi="Acto CTT Book" w:cs="Arial"/>
          <w:sz w:val="23"/>
          <w:szCs w:val="23"/>
        </w:rPr>
        <w:t>adquiere cada vez más relevancia,</w:t>
      </w:r>
      <w:r w:rsidR="00727F19" w:rsidRPr="79F923B7">
        <w:rPr>
          <w:rFonts w:ascii="Acto CTT Book" w:hAnsi="Acto CTT Book" w:cs="Arial"/>
          <w:sz w:val="23"/>
          <w:szCs w:val="23"/>
        </w:rPr>
        <w:t xml:space="preserve"> especialmente entre grandes clientes internacionales. </w:t>
      </w:r>
      <w:r w:rsidR="004B529F" w:rsidRPr="79F923B7">
        <w:rPr>
          <w:rFonts w:ascii="Acto CTT Book" w:hAnsi="Acto CTT Book" w:cs="Arial"/>
          <w:sz w:val="23"/>
          <w:szCs w:val="23"/>
        </w:rPr>
        <w:t xml:space="preserve">Este servicio desempeña un papel fundamental en la reducción de los plazos de entrega para los clientes que generan tráfico de paquetería desde fuera de la Unión Europea. </w:t>
      </w:r>
    </w:p>
    <w:p w14:paraId="41882767" w14:textId="3580C298" w:rsidR="004B529F" w:rsidRPr="00D43974" w:rsidRDefault="004B529F" w:rsidP="00727F19">
      <w:pPr>
        <w:jc w:val="both"/>
        <w:rPr>
          <w:rFonts w:ascii="Acto CTT Book" w:hAnsi="Acto CTT Book" w:cs="Arial"/>
          <w:sz w:val="23"/>
          <w:szCs w:val="23"/>
        </w:rPr>
      </w:pPr>
      <w:r w:rsidRPr="79F923B7">
        <w:rPr>
          <w:rFonts w:ascii="Acto CTT Book" w:hAnsi="Acto CTT Book" w:cs="Arial"/>
          <w:sz w:val="23"/>
          <w:szCs w:val="23"/>
        </w:rPr>
        <w:t xml:space="preserve">La adquisición de </w:t>
      </w:r>
      <w:proofErr w:type="spellStart"/>
      <w:r w:rsidRPr="79F923B7">
        <w:rPr>
          <w:rFonts w:ascii="Acto CTT Book" w:hAnsi="Acto CTT Book" w:cs="Arial"/>
          <w:sz w:val="23"/>
          <w:szCs w:val="23"/>
        </w:rPr>
        <w:t>Cacesa</w:t>
      </w:r>
      <w:proofErr w:type="spellEnd"/>
      <w:r w:rsidRPr="79F923B7">
        <w:rPr>
          <w:rFonts w:ascii="Acto CTT Book" w:hAnsi="Acto CTT Book" w:cs="Arial"/>
          <w:sz w:val="23"/>
          <w:szCs w:val="23"/>
        </w:rPr>
        <w:t xml:space="preserve">, ya completada y que </w:t>
      </w:r>
      <w:r w:rsidR="002D3BFC">
        <w:rPr>
          <w:rFonts w:ascii="Acto CTT Book" w:hAnsi="Acto CTT Book" w:cs="Arial"/>
          <w:sz w:val="23"/>
          <w:szCs w:val="23"/>
        </w:rPr>
        <w:t xml:space="preserve">se </w:t>
      </w:r>
      <w:r w:rsidR="000E0FF3">
        <w:rPr>
          <w:rFonts w:ascii="Acto CTT Book" w:hAnsi="Acto CTT Book" w:cs="Arial"/>
          <w:sz w:val="23"/>
          <w:szCs w:val="23"/>
        </w:rPr>
        <w:t xml:space="preserve">integró </w:t>
      </w:r>
      <w:r w:rsidR="002D3BFC">
        <w:rPr>
          <w:rFonts w:ascii="Acto CTT Book" w:hAnsi="Acto CTT Book" w:cs="Arial"/>
          <w:sz w:val="23"/>
          <w:szCs w:val="23"/>
        </w:rPr>
        <w:t>el pasado mes de abril</w:t>
      </w:r>
      <w:r w:rsidRPr="79F923B7">
        <w:rPr>
          <w:rFonts w:ascii="Acto CTT Book" w:hAnsi="Acto CTT Book" w:cs="Arial"/>
          <w:sz w:val="23"/>
          <w:szCs w:val="23"/>
        </w:rPr>
        <w:t xml:space="preserve">, refuerza el liderazgo de CTT en el despacho de aduanas. </w:t>
      </w:r>
      <w:proofErr w:type="spellStart"/>
      <w:r w:rsidRPr="79F923B7">
        <w:rPr>
          <w:rFonts w:ascii="Acto CTT Book" w:hAnsi="Acto CTT Book" w:cs="Arial"/>
          <w:sz w:val="23"/>
          <w:szCs w:val="23"/>
        </w:rPr>
        <w:t>Cacesa</w:t>
      </w:r>
      <w:proofErr w:type="spellEnd"/>
      <w:r w:rsidRPr="79F923B7">
        <w:rPr>
          <w:rFonts w:ascii="Acto CTT Book" w:hAnsi="Acto CTT Book" w:cs="Arial"/>
          <w:sz w:val="23"/>
          <w:szCs w:val="23"/>
        </w:rPr>
        <w:t xml:space="preserve"> es una empresa especializada en el despacho de aduanas para el comercio electrónico internacional, con presencia en 15 países, y reconocida por sus servicios de distribución y transporte de mercancías, con una fuerte presencia en mercados como España, Italia, Bélgica y Polonia.</w:t>
      </w:r>
    </w:p>
    <w:p w14:paraId="7CF06D40" w14:textId="680F6525" w:rsidR="0001395B" w:rsidRDefault="745D0B45" w:rsidP="00727F19">
      <w:pPr>
        <w:jc w:val="both"/>
        <w:rPr>
          <w:rFonts w:ascii="Acto CTT Book" w:hAnsi="Acto CTT Book" w:cs="Arial"/>
          <w:sz w:val="23"/>
          <w:szCs w:val="23"/>
        </w:rPr>
      </w:pPr>
      <w:r w:rsidRPr="79F923B7">
        <w:rPr>
          <w:rFonts w:ascii="Acto CTT Book" w:hAnsi="Acto CTT Book" w:cs="Arial"/>
          <w:sz w:val="23"/>
          <w:szCs w:val="23"/>
        </w:rPr>
        <w:t>Con todo ello</w:t>
      </w:r>
      <w:r w:rsidR="00727F19" w:rsidRPr="79F923B7">
        <w:rPr>
          <w:rFonts w:ascii="Acto CTT Book" w:hAnsi="Acto CTT Book" w:cs="Arial"/>
          <w:sz w:val="23"/>
          <w:szCs w:val="23"/>
        </w:rPr>
        <w:t xml:space="preserve">, </w:t>
      </w:r>
      <w:r w:rsidR="00C0600C" w:rsidRPr="79F923B7">
        <w:rPr>
          <w:rFonts w:ascii="Acto CTT Book" w:hAnsi="Acto CTT Book" w:cs="Arial"/>
          <w:sz w:val="23"/>
          <w:szCs w:val="23"/>
        </w:rPr>
        <w:t>el</w:t>
      </w:r>
      <w:r w:rsidR="00727F19" w:rsidRPr="79F923B7">
        <w:rPr>
          <w:rFonts w:ascii="Acto CTT Book" w:hAnsi="Acto CTT Book" w:cs="Arial"/>
          <w:sz w:val="23"/>
          <w:szCs w:val="23"/>
        </w:rPr>
        <w:t xml:space="preserve"> Grupo CTT ha superado los </w:t>
      </w:r>
      <w:r w:rsidR="00727F19" w:rsidRPr="79F923B7">
        <w:rPr>
          <w:rFonts w:ascii="Acto CTT Book" w:hAnsi="Acto CTT Book" w:cs="Arial"/>
          <w:b/>
          <w:bCs/>
          <w:sz w:val="23"/>
          <w:szCs w:val="23"/>
        </w:rPr>
        <w:t>288 millones de euros</w:t>
      </w:r>
      <w:r w:rsidR="00727F19" w:rsidRPr="79F923B7">
        <w:rPr>
          <w:rFonts w:ascii="Acto CTT Book" w:hAnsi="Acto CTT Book" w:cs="Arial"/>
          <w:sz w:val="23"/>
          <w:szCs w:val="23"/>
        </w:rPr>
        <w:t xml:space="preserve"> en ingresos, un </w:t>
      </w:r>
      <w:r w:rsidR="00C0600C" w:rsidRPr="79F923B7">
        <w:rPr>
          <w:rFonts w:ascii="Acto CTT Book" w:hAnsi="Acto CTT Book" w:cs="Arial"/>
          <w:b/>
          <w:bCs/>
          <w:sz w:val="23"/>
          <w:szCs w:val="23"/>
        </w:rPr>
        <w:t>9,5</w:t>
      </w:r>
      <w:r w:rsidR="00727F19" w:rsidRPr="79F923B7">
        <w:rPr>
          <w:rFonts w:ascii="Acto CTT Book" w:hAnsi="Acto CTT Book" w:cs="Arial"/>
          <w:b/>
          <w:bCs/>
          <w:sz w:val="23"/>
          <w:szCs w:val="23"/>
        </w:rPr>
        <w:t>%</w:t>
      </w:r>
      <w:r w:rsidR="00727F19" w:rsidRPr="79F923B7">
        <w:rPr>
          <w:rFonts w:ascii="Acto CTT Book" w:hAnsi="Acto CTT Book" w:cs="Arial"/>
          <w:sz w:val="23"/>
          <w:szCs w:val="23"/>
        </w:rPr>
        <w:t xml:space="preserve"> más que en</w:t>
      </w:r>
      <w:r w:rsidR="0013597A">
        <w:rPr>
          <w:rFonts w:ascii="Acto CTT Book" w:hAnsi="Acto CTT Book" w:cs="Arial"/>
          <w:sz w:val="23"/>
          <w:szCs w:val="23"/>
        </w:rPr>
        <w:t xml:space="preserve"> el mismo periodo del año pasado.</w:t>
      </w:r>
      <w:r w:rsidR="00727F19" w:rsidRPr="79F923B7">
        <w:rPr>
          <w:rFonts w:ascii="Acto CTT Book" w:hAnsi="Acto CTT Book" w:cs="Arial"/>
          <w:sz w:val="23"/>
          <w:szCs w:val="23"/>
        </w:rPr>
        <w:t xml:space="preserve"> Este avance se debe principalmente al crecimiento del segmento de paquetería urgente y a la recuperación de los </w:t>
      </w:r>
      <w:r w:rsidR="00D43974" w:rsidRPr="79F923B7">
        <w:rPr>
          <w:rFonts w:ascii="Acto CTT Book" w:hAnsi="Acto CTT Book" w:cs="Arial"/>
          <w:sz w:val="23"/>
          <w:szCs w:val="23"/>
        </w:rPr>
        <w:t>s</w:t>
      </w:r>
      <w:r w:rsidR="00727F19" w:rsidRPr="79F923B7">
        <w:rPr>
          <w:rFonts w:ascii="Acto CTT Book" w:hAnsi="Acto CTT Book" w:cs="Arial"/>
          <w:sz w:val="23"/>
          <w:szCs w:val="23"/>
        </w:rPr>
        <w:t xml:space="preserve">ervicios </w:t>
      </w:r>
      <w:r w:rsidR="00D43974" w:rsidRPr="79F923B7">
        <w:rPr>
          <w:rFonts w:ascii="Acto CTT Book" w:hAnsi="Acto CTT Book" w:cs="Arial"/>
          <w:sz w:val="23"/>
          <w:szCs w:val="23"/>
        </w:rPr>
        <w:t>f</w:t>
      </w:r>
      <w:r w:rsidR="00727F19" w:rsidRPr="79F923B7">
        <w:rPr>
          <w:rFonts w:ascii="Acto CTT Book" w:hAnsi="Acto CTT Book" w:cs="Arial"/>
          <w:sz w:val="23"/>
          <w:szCs w:val="23"/>
        </w:rPr>
        <w:t>inancieros.</w:t>
      </w:r>
    </w:p>
    <w:p w14:paraId="39887D7A" w14:textId="2FE781D0" w:rsidR="0001395B" w:rsidRPr="00D43974" w:rsidRDefault="0001395B" w:rsidP="00727F19">
      <w:pPr>
        <w:jc w:val="both"/>
        <w:rPr>
          <w:rFonts w:ascii="Acto CTT Book" w:hAnsi="Acto CTT Book" w:cs="Arial"/>
          <w:sz w:val="23"/>
          <w:szCs w:val="23"/>
        </w:rPr>
      </w:pPr>
      <w:r w:rsidRPr="0001395B">
        <w:rPr>
          <w:rFonts w:ascii="Acto CTT Book" w:hAnsi="Acto CTT Book" w:cs="Arial"/>
          <w:b/>
          <w:bCs/>
        </w:rPr>
        <w:t xml:space="preserve">Para más </w:t>
      </w:r>
      <w:r>
        <w:rPr>
          <w:rFonts w:ascii="Acto CTT Book" w:hAnsi="Acto CTT Book" w:cs="Arial"/>
          <w:b/>
          <w:bCs/>
        </w:rPr>
        <w:t>detalles</w:t>
      </w:r>
      <w:r w:rsidRPr="0001395B">
        <w:rPr>
          <w:rFonts w:ascii="Acto CTT Book" w:hAnsi="Acto CTT Book" w:cs="Arial"/>
          <w:b/>
          <w:bCs/>
        </w:rPr>
        <w:t xml:space="preserve"> accede</w:t>
      </w:r>
      <w:r w:rsidRPr="0001395B">
        <w:rPr>
          <w:rFonts w:ascii="Acto CTT Book" w:hAnsi="Acto CTT Book" w:cs="Arial"/>
        </w:rPr>
        <w:t xml:space="preserve"> </w:t>
      </w:r>
      <w:hyperlink r:id="rId12" w:history="1">
        <w:r w:rsidRPr="0001395B">
          <w:rPr>
            <w:rStyle w:val="Hipervnculo"/>
            <w:rFonts w:ascii="Acto CTT Book" w:hAnsi="Acto CTT Book" w:cs="Arial"/>
            <w:sz w:val="23"/>
            <w:szCs w:val="23"/>
          </w:rPr>
          <w:t>aquí.</w:t>
        </w:r>
      </w:hyperlink>
      <w:r>
        <w:rPr>
          <w:rFonts w:ascii="Acto CTT Book" w:hAnsi="Acto CTT Book" w:cs="Arial"/>
          <w:sz w:val="23"/>
          <w:szCs w:val="23"/>
        </w:rPr>
        <w:t xml:space="preserve"> </w:t>
      </w:r>
    </w:p>
    <w:p w14:paraId="370AC691" w14:textId="73DE23C1" w:rsidR="00325852" w:rsidRPr="00325852" w:rsidRDefault="00325852" w:rsidP="00325852">
      <w:pPr>
        <w:jc w:val="both"/>
        <w:rPr>
          <w:rFonts w:ascii="Acto CTT Book" w:hAnsi="Acto CTT Book" w:cs="Arial"/>
          <w:sz w:val="23"/>
          <w:szCs w:val="23"/>
        </w:rPr>
      </w:pPr>
      <w:r w:rsidRPr="79F923B7">
        <w:rPr>
          <w:rFonts w:ascii="Acto CTT Book" w:hAnsi="Acto CTT Book" w:cs="Arial"/>
          <w:b/>
          <w:bCs/>
          <w:sz w:val="23"/>
          <w:szCs w:val="23"/>
        </w:rPr>
        <w:t>Sobre CTT EXPRESS.</w:t>
      </w:r>
      <w:r w:rsidRPr="79F923B7">
        <w:rPr>
          <w:rFonts w:cs="Calibri"/>
          <w:b/>
          <w:bCs/>
          <w:sz w:val="23"/>
          <w:szCs w:val="23"/>
        </w:rPr>
        <w:t> </w:t>
      </w:r>
      <w:r w:rsidRPr="79F923B7">
        <w:rPr>
          <w:rFonts w:cs="Calibri"/>
          <w:sz w:val="23"/>
          <w:szCs w:val="23"/>
        </w:rPr>
        <w:t> </w:t>
      </w:r>
    </w:p>
    <w:p w14:paraId="254EF9E5" w14:textId="1A6E520D" w:rsidR="3C8A44F4" w:rsidRDefault="3C8A44F4" w:rsidP="79F923B7">
      <w:pPr>
        <w:jc w:val="both"/>
        <w:rPr>
          <w:rFonts w:ascii="Acto CTT Book" w:hAnsi="Acto CTT Book" w:cs="Arial"/>
          <w:sz w:val="23"/>
          <w:szCs w:val="23"/>
        </w:rPr>
      </w:pPr>
      <w:r w:rsidRPr="00674898">
        <w:rPr>
          <w:rFonts w:ascii="Acto CTT Book" w:hAnsi="Acto CTT Book" w:cs="Arial"/>
          <w:sz w:val="23"/>
          <w:szCs w:val="23"/>
        </w:rPr>
        <w:t>CTT Express es, desde 2019, la filial española de paquetería urgente del Grupo CTT, operador postal y de paquetería líder en Portugal, que desde 2013 cotiza en bolsa.</w:t>
      </w:r>
      <w:r w:rsidRPr="00674898">
        <w:rPr>
          <w:rFonts w:cs="Calibri"/>
          <w:sz w:val="23"/>
          <w:szCs w:val="23"/>
        </w:rPr>
        <w:t>    </w:t>
      </w:r>
      <w:r w:rsidRPr="00674898">
        <w:rPr>
          <w:rFonts w:ascii="Acto CTT Book" w:hAnsi="Acto CTT Book" w:cs="Arial"/>
          <w:sz w:val="23"/>
          <w:szCs w:val="23"/>
        </w:rPr>
        <w:t xml:space="preserve">    </w:t>
      </w:r>
    </w:p>
    <w:p w14:paraId="06910FB4" w14:textId="541254D4" w:rsidR="3C8A44F4" w:rsidRPr="00674898" w:rsidRDefault="3C8A44F4" w:rsidP="79F923B7">
      <w:pPr>
        <w:jc w:val="both"/>
        <w:rPr>
          <w:rFonts w:ascii="Acto CTT Book" w:hAnsi="Acto CTT Book" w:cs="Arial"/>
          <w:sz w:val="23"/>
          <w:szCs w:val="23"/>
        </w:rPr>
      </w:pPr>
      <w:r w:rsidRPr="00674898">
        <w:rPr>
          <w:rFonts w:ascii="Acto CTT Book" w:hAnsi="Acto CTT Book" w:cs="Arial"/>
          <w:sz w:val="23"/>
          <w:szCs w:val="23"/>
        </w:rPr>
        <w:t xml:space="preserve">La compañía persigue el liderazgo en el mercado ibérico proporcionando el 100% de cobertura para sus entregas en 24 horas en ambos países. Para lograrlo, CTT se presenta como el operador con la red propia </w:t>
      </w:r>
      <w:r w:rsidRPr="00674898">
        <w:rPr>
          <w:rFonts w:ascii="Acto CTT Book" w:hAnsi="Acto CTT Book" w:cs="Arial"/>
          <w:sz w:val="23"/>
          <w:szCs w:val="23"/>
        </w:rPr>
        <w:lastRenderedPageBreak/>
        <w:t>mejor integrada entre España y Portugal gracias a la configuración de centros de distribución estratégicos y a un único modelo operativo.</w:t>
      </w:r>
      <w:r w:rsidRPr="00674898">
        <w:rPr>
          <w:rFonts w:cs="Calibri"/>
          <w:sz w:val="23"/>
          <w:szCs w:val="23"/>
        </w:rPr>
        <w:t>    </w:t>
      </w:r>
      <w:r w:rsidRPr="00674898">
        <w:rPr>
          <w:rFonts w:ascii="Acto CTT Book" w:hAnsi="Acto CTT Book" w:cs="Arial"/>
          <w:sz w:val="23"/>
          <w:szCs w:val="23"/>
        </w:rPr>
        <w:t xml:space="preserve">   </w:t>
      </w:r>
    </w:p>
    <w:p w14:paraId="1471B52A" w14:textId="043B122F" w:rsidR="3C8A44F4" w:rsidRPr="00674898" w:rsidRDefault="3C8A44F4" w:rsidP="79F923B7">
      <w:pPr>
        <w:jc w:val="both"/>
        <w:rPr>
          <w:rFonts w:ascii="Acto CTT Book" w:hAnsi="Acto CTT Book" w:cs="Arial"/>
          <w:sz w:val="23"/>
          <w:szCs w:val="23"/>
        </w:rPr>
      </w:pPr>
      <w:r w:rsidRPr="00674898">
        <w:rPr>
          <w:rFonts w:ascii="Acto CTT Book" w:hAnsi="Acto CTT Book" w:cs="Arial"/>
          <w:sz w:val="23"/>
          <w:szCs w:val="23"/>
        </w:rPr>
        <w:t xml:space="preserve">En 2024, los ingresos del Grupo CTT en paquetería urgente en la Península Ibérica alcanzaban los 479 millones de euros, un 40% más que lo registrado en el mismo periodo del año anterior. En cuanto a envíos movidos, CTT supera los 141 millones de objetos, un 40% más que en el mismo periodo de 2023. Unas cifras que se alinean con los datos de calidad y efectividad de entrega y que consolidan su compromiso con un servicio estable y de confianza.  </w:t>
      </w:r>
    </w:p>
    <w:p w14:paraId="798A47D8" w14:textId="77777777" w:rsidR="00325852" w:rsidRPr="00325852" w:rsidRDefault="00325852" w:rsidP="00325852">
      <w:pPr>
        <w:jc w:val="both"/>
        <w:rPr>
          <w:rFonts w:ascii="Acto CTT Book" w:hAnsi="Acto CTT Book" w:cs="Arial"/>
          <w:sz w:val="23"/>
          <w:szCs w:val="23"/>
        </w:rPr>
      </w:pPr>
      <w:r w:rsidRPr="00325852">
        <w:rPr>
          <w:rFonts w:ascii="Acto CTT Book" w:hAnsi="Acto CTT Book" w:cs="Arial"/>
          <w:sz w:val="23"/>
          <w:szCs w:val="23"/>
        </w:rPr>
        <w:t xml:space="preserve">Más información, en: </w:t>
      </w:r>
      <w:hyperlink r:id="rId13" w:tgtFrame="_blank" w:history="1">
        <w:r w:rsidRPr="00325852">
          <w:rPr>
            <w:rStyle w:val="Hipervnculo"/>
            <w:rFonts w:ascii="Acto CTT Book" w:hAnsi="Acto CTT Book" w:cs="Arial"/>
            <w:sz w:val="23"/>
            <w:szCs w:val="23"/>
          </w:rPr>
          <w:t>www.cttexpress.com</w:t>
        </w:r>
      </w:hyperlink>
      <w:r w:rsidRPr="00325852">
        <w:rPr>
          <w:rFonts w:ascii="Acto CTT Book" w:hAnsi="Acto CTT Book" w:cs="Arial"/>
          <w:sz w:val="23"/>
          <w:szCs w:val="23"/>
        </w:rPr>
        <w:tab/>
      </w:r>
      <w:r w:rsidRPr="00325852">
        <w:rPr>
          <w:rFonts w:cs="Calibri"/>
          <w:sz w:val="23"/>
          <w:szCs w:val="23"/>
        </w:rPr>
        <w:t> </w:t>
      </w:r>
    </w:p>
    <w:p w14:paraId="48F32999" w14:textId="77777777" w:rsidR="00325852" w:rsidRPr="00325852" w:rsidRDefault="00325852" w:rsidP="00325852">
      <w:pPr>
        <w:jc w:val="both"/>
        <w:rPr>
          <w:rFonts w:ascii="Acto CTT Book" w:hAnsi="Acto CTT Book" w:cs="Arial"/>
          <w:sz w:val="23"/>
          <w:szCs w:val="23"/>
        </w:rPr>
      </w:pPr>
      <w:r w:rsidRPr="00325852">
        <w:rPr>
          <w:rFonts w:cs="Calibri"/>
          <w:sz w:val="23"/>
          <w:szCs w:val="23"/>
        </w:rPr>
        <w:t> </w:t>
      </w:r>
    </w:p>
    <w:p w14:paraId="338F9D70" w14:textId="77777777" w:rsidR="00325852" w:rsidRPr="00325852" w:rsidRDefault="00325852" w:rsidP="00325852">
      <w:pPr>
        <w:jc w:val="both"/>
        <w:rPr>
          <w:rFonts w:ascii="Acto CTT Book" w:hAnsi="Acto CTT Book" w:cs="Arial"/>
          <w:sz w:val="23"/>
          <w:szCs w:val="23"/>
        </w:rPr>
      </w:pPr>
      <w:r w:rsidRPr="00325852">
        <w:rPr>
          <w:rFonts w:ascii="Acto CTT Book" w:hAnsi="Acto CTT Book" w:cs="Arial"/>
          <w:b/>
          <w:bCs/>
          <w:sz w:val="23"/>
          <w:szCs w:val="23"/>
        </w:rPr>
        <w:t>INFORMACIÓN DE CONTACTO:</w:t>
      </w:r>
      <w:r w:rsidRPr="00325852">
        <w:rPr>
          <w:rFonts w:ascii="Cambria Math" w:hAnsi="Cambria Math" w:cs="Cambria Math"/>
          <w:b/>
          <w:bCs/>
          <w:sz w:val="23"/>
          <w:szCs w:val="23"/>
        </w:rPr>
        <w:t> </w:t>
      </w:r>
      <w:r w:rsidRPr="00325852">
        <w:rPr>
          <w:rFonts w:ascii="Cambria Math" w:hAnsi="Cambria Math" w:cs="Cambria Math"/>
          <w:sz w:val="23"/>
          <w:szCs w:val="23"/>
        </w:rPr>
        <w:t> </w:t>
      </w:r>
      <w:r w:rsidRPr="00325852">
        <w:rPr>
          <w:rFonts w:cs="Calibri"/>
          <w:sz w:val="23"/>
          <w:szCs w:val="23"/>
        </w:rPr>
        <w:t> </w:t>
      </w:r>
    </w:p>
    <w:p w14:paraId="279796C6" w14:textId="77777777" w:rsidR="00325852" w:rsidRPr="00325852" w:rsidRDefault="00325852" w:rsidP="00325852">
      <w:pPr>
        <w:jc w:val="both"/>
        <w:rPr>
          <w:rFonts w:ascii="Acto CTT Book" w:hAnsi="Acto CTT Book" w:cs="Arial"/>
          <w:sz w:val="23"/>
          <w:szCs w:val="23"/>
        </w:rPr>
      </w:pPr>
      <w:r w:rsidRPr="00325852">
        <w:rPr>
          <w:rFonts w:cs="Calibri"/>
          <w:sz w:val="23"/>
          <w:szCs w:val="23"/>
        </w:rPr>
        <w:t> </w:t>
      </w:r>
    </w:p>
    <w:p w14:paraId="7D7FEF89" w14:textId="1BA90C8E" w:rsidR="00325852" w:rsidRPr="00325852" w:rsidRDefault="00325852" w:rsidP="00325852">
      <w:pPr>
        <w:jc w:val="both"/>
        <w:rPr>
          <w:rFonts w:ascii="Acto CTT Book" w:hAnsi="Acto CTT Book" w:cs="Arial"/>
          <w:sz w:val="23"/>
          <w:szCs w:val="23"/>
        </w:rPr>
      </w:pPr>
      <w:r w:rsidRPr="00325852">
        <w:rPr>
          <w:rFonts w:ascii="Acto CTT Book" w:hAnsi="Acto CTT Book" w:cs="Arial"/>
          <w:sz w:val="23"/>
          <w:szCs w:val="23"/>
          <w:lang w:val="it-IT"/>
        </w:rPr>
        <w:t>Leticia Martín Santiago</w:t>
      </w:r>
      <w:r w:rsidRPr="00325852">
        <w:rPr>
          <w:rFonts w:ascii="Acto CTT Book" w:hAnsi="Acto CTT Book" w:cs="Arial"/>
          <w:sz w:val="23"/>
          <w:szCs w:val="23"/>
        </w:rPr>
        <w:tab/>
      </w:r>
      <w:r w:rsidRPr="00325852">
        <w:rPr>
          <w:rFonts w:ascii="Acto CTT Book" w:hAnsi="Acto CTT Book" w:cs="Arial"/>
          <w:sz w:val="23"/>
          <w:szCs w:val="23"/>
        </w:rPr>
        <w:tab/>
      </w:r>
      <w:r w:rsidRPr="00325852">
        <w:rPr>
          <w:rFonts w:ascii="Acto CTT Book" w:hAnsi="Acto CTT Book" w:cs="Arial"/>
          <w:sz w:val="23"/>
          <w:szCs w:val="23"/>
        </w:rPr>
        <w:tab/>
      </w:r>
      <w:r w:rsidRPr="00325852">
        <w:rPr>
          <w:rFonts w:ascii="Acto CTT Book" w:hAnsi="Acto CTT Book" w:cs="Arial"/>
          <w:sz w:val="23"/>
          <w:szCs w:val="23"/>
          <w:lang w:val="it-IT"/>
        </w:rPr>
        <w:t xml:space="preserve">María De la plaza </w:t>
      </w:r>
      <w:r w:rsidRPr="00325852">
        <w:rPr>
          <w:rFonts w:ascii="Acto CTT Book" w:hAnsi="Acto CTT Book" w:cs="Arial"/>
          <w:sz w:val="23"/>
          <w:szCs w:val="23"/>
        </w:rPr>
        <w:tab/>
      </w:r>
      <w:r w:rsidRPr="00325852">
        <w:rPr>
          <w:rFonts w:ascii="Acto CTT Book" w:hAnsi="Acto CTT Book" w:cs="Arial"/>
          <w:sz w:val="23"/>
          <w:szCs w:val="23"/>
        </w:rPr>
        <w:tab/>
      </w:r>
      <w:r w:rsidRPr="00325852">
        <w:rPr>
          <w:rFonts w:ascii="Acto CTT Book" w:hAnsi="Acto CTT Book" w:cs="Arial"/>
          <w:sz w:val="23"/>
          <w:szCs w:val="23"/>
        </w:rPr>
        <w:tab/>
      </w:r>
      <w:r w:rsidRPr="00325852">
        <w:rPr>
          <w:rFonts w:ascii="Acto CTT Book" w:hAnsi="Acto CTT Book" w:cs="Arial"/>
          <w:sz w:val="23"/>
          <w:szCs w:val="23"/>
        </w:rPr>
        <w:tab/>
      </w:r>
      <w:r w:rsidRPr="00325852">
        <w:rPr>
          <w:rFonts w:ascii="Cambria Math" w:hAnsi="Cambria Math" w:cs="Cambria Math"/>
          <w:sz w:val="23"/>
          <w:szCs w:val="23"/>
        </w:rPr>
        <w:t> </w:t>
      </w:r>
      <w:r w:rsidRPr="00325852">
        <w:rPr>
          <w:rFonts w:cs="Calibri"/>
          <w:sz w:val="23"/>
          <w:szCs w:val="23"/>
        </w:rPr>
        <w:t> </w:t>
      </w:r>
    </w:p>
    <w:p w14:paraId="30155128" w14:textId="0E615538" w:rsidR="00325852" w:rsidRPr="00325852" w:rsidRDefault="00325852" w:rsidP="00325852">
      <w:pPr>
        <w:jc w:val="both"/>
        <w:rPr>
          <w:rFonts w:ascii="Acto CTT Book" w:hAnsi="Acto CTT Book" w:cs="Arial"/>
          <w:sz w:val="23"/>
          <w:szCs w:val="23"/>
        </w:rPr>
      </w:pPr>
      <w:r w:rsidRPr="79F923B7">
        <w:rPr>
          <w:rFonts w:ascii="Acto CTT Book" w:hAnsi="Acto CTT Book" w:cs="Arial"/>
          <w:b/>
          <w:bCs/>
          <w:sz w:val="23"/>
          <w:szCs w:val="23"/>
          <w:lang w:val="it-IT"/>
        </w:rPr>
        <w:t xml:space="preserve">Directora de Comunicación </w:t>
      </w:r>
      <w:r>
        <w:tab/>
      </w:r>
      <w:r>
        <w:tab/>
      </w:r>
      <w:r>
        <w:tab/>
      </w:r>
      <w:r w:rsidRPr="79F923B7">
        <w:rPr>
          <w:rFonts w:ascii="Acto CTT Book" w:hAnsi="Acto CTT Book" w:cs="Arial"/>
          <w:b/>
          <w:bCs/>
          <w:sz w:val="23"/>
          <w:szCs w:val="23"/>
          <w:lang w:val="it-IT"/>
        </w:rPr>
        <w:t xml:space="preserve">Ejecutiva de cuentas </w:t>
      </w:r>
      <w:r>
        <w:tab/>
      </w:r>
      <w:r>
        <w:tab/>
      </w:r>
      <w:r>
        <w:tab/>
      </w:r>
      <w:r>
        <w:tab/>
      </w:r>
      <w:r w:rsidRPr="79F923B7">
        <w:rPr>
          <w:rFonts w:ascii="Cambria Math" w:hAnsi="Cambria Math" w:cs="Cambria Math"/>
          <w:sz w:val="23"/>
          <w:szCs w:val="23"/>
        </w:rPr>
        <w:t> </w:t>
      </w:r>
      <w:r w:rsidRPr="79F923B7">
        <w:rPr>
          <w:rFonts w:cs="Calibri"/>
          <w:sz w:val="23"/>
          <w:szCs w:val="23"/>
        </w:rPr>
        <w:t> </w:t>
      </w:r>
    </w:p>
    <w:p w14:paraId="3CD74512" w14:textId="3F536479" w:rsidR="00325852" w:rsidRPr="00325852" w:rsidRDefault="00325852" w:rsidP="00325852">
      <w:pPr>
        <w:jc w:val="both"/>
        <w:rPr>
          <w:rFonts w:ascii="Acto CTT Book" w:hAnsi="Acto CTT Book" w:cs="Arial"/>
          <w:sz w:val="23"/>
          <w:szCs w:val="23"/>
        </w:rPr>
      </w:pPr>
      <w:hyperlink r:id="rId14" w:tgtFrame="_blank" w:history="1">
        <w:r w:rsidRPr="00325852">
          <w:rPr>
            <w:rStyle w:val="Hipervnculo"/>
            <w:rFonts w:ascii="Acto CTT Book" w:hAnsi="Acto CTT Book" w:cs="Arial"/>
            <w:sz w:val="23"/>
            <w:szCs w:val="23"/>
            <w:lang w:val="it-IT"/>
          </w:rPr>
          <w:t>leticia.martin@cttexpress.com</w:t>
        </w:r>
      </w:hyperlink>
      <w:r w:rsidRPr="00325852">
        <w:rPr>
          <w:rFonts w:ascii="Acto CTT Book" w:hAnsi="Acto CTT Book" w:cs="Arial"/>
          <w:sz w:val="23"/>
          <w:szCs w:val="23"/>
          <w:lang w:val="it-IT"/>
        </w:rPr>
        <w:t xml:space="preserve"> </w:t>
      </w:r>
      <w:r w:rsidRPr="00325852">
        <w:rPr>
          <w:rFonts w:ascii="Acto CTT Book" w:hAnsi="Acto CTT Book" w:cs="Arial"/>
          <w:sz w:val="23"/>
          <w:szCs w:val="23"/>
        </w:rPr>
        <w:tab/>
      </w:r>
      <w:r w:rsidRPr="00325852">
        <w:rPr>
          <w:rFonts w:ascii="Acto CTT Book" w:hAnsi="Acto CTT Book" w:cs="Arial"/>
          <w:sz w:val="23"/>
          <w:szCs w:val="23"/>
        </w:rPr>
        <w:tab/>
      </w:r>
      <w:r w:rsidRPr="00AF33DD">
        <w:rPr>
          <w:rStyle w:val="Hipervnculo"/>
          <w:rFonts w:ascii="Acto CTT Book" w:hAnsi="Acto CTT Book" w:cs="Arial"/>
          <w:sz w:val="23"/>
          <w:szCs w:val="23"/>
          <w:lang w:val="it-IT"/>
        </w:rPr>
        <w:t>maria.delaplaza@esencialcomunicacion.com</w:t>
      </w:r>
      <w:r w:rsidRPr="00AF33DD">
        <w:rPr>
          <w:rStyle w:val="Hipervnculo"/>
          <w:rFonts w:ascii="Cambria Math" w:hAnsi="Cambria Math" w:cs="Cambria Math"/>
          <w:sz w:val="23"/>
          <w:szCs w:val="23"/>
          <w:lang w:val="it-IT"/>
        </w:rPr>
        <w:t> </w:t>
      </w:r>
      <w:r w:rsidRPr="00325852">
        <w:rPr>
          <w:rFonts w:cs="Calibri"/>
          <w:sz w:val="23"/>
          <w:szCs w:val="23"/>
        </w:rPr>
        <w:t> </w:t>
      </w:r>
    </w:p>
    <w:p w14:paraId="29819FB4" w14:textId="7D425B55" w:rsidR="00325852" w:rsidRPr="00325852" w:rsidRDefault="00325852" w:rsidP="00325852">
      <w:pPr>
        <w:jc w:val="both"/>
        <w:rPr>
          <w:rFonts w:ascii="Acto CTT Book" w:hAnsi="Acto CTT Book" w:cs="Arial"/>
          <w:sz w:val="23"/>
          <w:szCs w:val="23"/>
        </w:rPr>
      </w:pPr>
      <w:proofErr w:type="spellStart"/>
      <w:r w:rsidRPr="00325852">
        <w:rPr>
          <w:rFonts w:ascii="Acto CTT Book" w:hAnsi="Acto CTT Book" w:cs="Arial"/>
          <w:b/>
          <w:bCs/>
          <w:sz w:val="23"/>
          <w:szCs w:val="23"/>
        </w:rPr>
        <w:t>Telf</w:t>
      </w:r>
      <w:proofErr w:type="spellEnd"/>
      <w:r w:rsidRPr="00325852">
        <w:rPr>
          <w:rFonts w:ascii="Acto CTT Book" w:hAnsi="Acto CTT Book" w:cs="Arial"/>
          <w:b/>
          <w:bCs/>
          <w:sz w:val="23"/>
          <w:szCs w:val="23"/>
        </w:rPr>
        <w:t>: (+34) 616 26 99 53</w:t>
      </w:r>
      <w:r w:rsidRPr="00325852">
        <w:rPr>
          <w:rFonts w:ascii="Acto CTT Book" w:hAnsi="Acto CTT Book" w:cs="Arial"/>
          <w:sz w:val="23"/>
          <w:szCs w:val="23"/>
        </w:rPr>
        <w:tab/>
      </w:r>
      <w:r w:rsidRPr="00325852">
        <w:rPr>
          <w:rFonts w:ascii="Acto CTT Book" w:hAnsi="Acto CTT Book" w:cs="Arial"/>
          <w:sz w:val="23"/>
          <w:szCs w:val="23"/>
        </w:rPr>
        <w:tab/>
      </w:r>
      <w:r w:rsidRPr="00325852">
        <w:rPr>
          <w:rFonts w:ascii="Acto CTT Book" w:hAnsi="Acto CTT Book" w:cs="Arial"/>
          <w:sz w:val="23"/>
          <w:szCs w:val="23"/>
        </w:rPr>
        <w:tab/>
      </w:r>
      <w:proofErr w:type="spellStart"/>
      <w:r w:rsidRPr="00325852">
        <w:rPr>
          <w:rFonts w:ascii="Acto CTT Book" w:hAnsi="Acto CTT Book" w:cs="Arial"/>
          <w:b/>
          <w:bCs/>
          <w:sz w:val="23"/>
          <w:szCs w:val="23"/>
        </w:rPr>
        <w:t>Telf</w:t>
      </w:r>
      <w:proofErr w:type="spellEnd"/>
      <w:r w:rsidRPr="00325852">
        <w:rPr>
          <w:rFonts w:ascii="Acto CTT Book" w:hAnsi="Acto CTT Book" w:cs="Arial"/>
          <w:b/>
          <w:bCs/>
          <w:sz w:val="23"/>
          <w:szCs w:val="23"/>
        </w:rPr>
        <w:t>: (+34) 640 38 58 87</w:t>
      </w:r>
      <w:r w:rsidRPr="00325852">
        <w:rPr>
          <w:rFonts w:ascii="Cambria Math" w:hAnsi="Cambria Math" w:cs="Cambria Math"/>
          <w:sz w:val="23"/>
          <w:szCs w:val="23"/>
        </w:rPr>
        <w:t> </w:t>
      </w:r>
      <w:r w:rsidRPr="00325852">
        <w:rPr>
          <w:rFonts w:cs="Calibri"/>
          <w:sz w:val="23"/>
          <w:szCs w:val="23"/>
        </w:rPr>
        <w:t> </w:t>
      </w:r>
    </w:p>
    <w:p w14:paraId="1BB8190E" w14:textId="77777777" w:rsidR="00325852" w:rsidRPr="002A6D96" w:rsidRDefault="00325852" w:rsidP="005E25E6">
      <w:pPr>
        <w:jc w:val="both"/>
        <w:rPr>
          <w:rFonts w:ascii="Acto CTT Book" w:hAnsi="Acto CTT Book" w:cs="Arial"/>
          <w:sz w:val="23"/>
          <w:szCs w:val="23"/>
        </w:rPr>
      </w:pPr>
    </w:p>
    <w:p w14:paraId="6765B304" w14:textId="3A0A63D3" w:rsidR="00664B23" w:rsidRPr="00AC0B98" w:rsidRDefault="004A0665" w:rsidP="00083447">
      <w:pPr>
        <w:spacing w:after="0" w:line="240" w:lineRule="auto"/>
        <w:rPr>
          <w:rFonts w:ascii="D-DIN" w:hAnsi="D-DIN"/>
          <w:bCs/>
          <w:sz w:val="20"/>
          <w:szCs w:val="20"/>
        </w:rPr>
      </w:pPr>
      <w:r w:rsidRPr="00AC0B98">
        <w:rPr>
          <w:rFonts w:ascii="Acto CTT Book" w:hAnsi="Acto CTT Book"/>
          <w:sz w:val="23"/>
          <w:szCs w:val="23"/>
        </w:rPr>
        <w:tab/>
      </w:r>
      <w:r w:rsidRPr="00AC0B98">
        <w:rPr>
          <w:rFonts w:ascii="Acto CTT Book" w:hAnsi="Acto CTT Book"/>
          <w:sz w:val="24"/>
          <w:szCs w:val="24"/>
        </w:rPr>
        <w:tab/>
      </w:r>
      <w:r w:rsidRPr="00AC0B98">
        <w:rPr>
          <w:rFonts w:ascii="D-DIN" w:hAnsi="D-DIN"/>
          <w:bCs/>
          <w:sz w:val="24"/>
          <w:szCs w:val="24"/>
        </w:rPr>
        <w:t xml:space="preserve">                         </w:t>
      </w:r>
      <w:r w:rsidRPr="00AC0B98">
        <w:rPr>
          <w:rFonts w:ascii="D-DIN" w:hAnsi="D-DIN"/>
          <w:bCs/>
          <w:sz w:val="20"/>
          <w:szCs w:val="20"/>
        </w:rPr>
        <w:t xml:space="preserve">                          </w:t>
      </w:r>
    </w:p>
    <w:sectPr w:rsidR="00664B23" w:rsidRPr="00AC0B98" w:rsidSect="00303DA1">
      <w:headerReference w:type="default" r:id="rId15"/>
      <w:footerReference w:type="default" r:id="rId16"/>
      <w:footerReference w:type="first" r:id="rId17"/>
      <w:pgSz w:w="11906" w:h="16838"/>
      <w:pgMar w:top="2127" w:right="720" w:bottom="720" w:left="720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740FE" w14:textId="77777777" w:rsidR="003579E2" w:rsidRDefault="003579E2" w:rsidP="003F343B">
      <w:pPr>
        <w:spacing w:after="0" w:line="240" w:lineRule="auto"/>
      </w:pPr>
      <w:r>
        <w:separator/>
      </w:r>
    </w:p>
  </w:endnote>
  <w:endnote w:type="continuationSeparator" w:id="0">
    <w:p w14:paraId="06CA3738" w14:textId="77777777" w:rsidR="003579E2" w:rsidRDefault="003579E2" w:rsidP="003F34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cto CTT Book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cto CTT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Acto CTT Bold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-DIN">
    <w:altName w:val="Times New Roman"/>
    <w:panose1 w:val="00000000000000000000"/>
    <w:charset w:val="4D"/>
    <w:family w:val="swiss"/>
    <w:notTrueType/>
    <w:pitch w:val="variable"/>
    <w:sig w:usb0="8000006F" w:usb1="4000000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672C5" w14:textId="77777777" w:rsidR="008F6675" w:rsidRPr="004A0665" w:rsidRDefault="008F6675" w:rsidP="006963A9">
    <w:pPr>
      <w:pStyle w:val="Encabezado"/>
      <w:rPr>
        <w:rFonts w:ascii="D-DIN" w:hAnsi="D-DIN"/>
        <w:b/>
        <w:bCs/>
        <w:color w:val="000000"/>
        <w:sz w:val="16"/>
        <w:szCs w:val="16"/>
      </w:rPr>
    </w:pPr>
    <w:r w:rsidRPr="004A0665">
      <w:rPr>
        <w:rFonts w:ascii="D-DIN" w:hAnsi="D-DIN"/>
        <w:b/>
        <w:bCs/>
        <w:color w:val="000000"/>
        <w:sz w:val="28"/>
        <w:szCs w:val="28"/>
      </w:rPr>
      <w:t xml:space="preserve">  </w:t>
    </w:r>
    <w:r w:rsidRPr="004A0665">
      <w:rPr>
        <w:rFonts w:ascii="D-DIN" w:hAnsi="D-DIN"/>
        <w:b/>
        <w:bCs/>
        <w:color w:val="000000"/>
        <w:sz w:val="16"/>
        <w:szCs w:val="16"/>
      </w:rPr>
      <w:t xml:space="preserve">Pág. </w:t>
    </w:r>
    <w:r w:rsidRPr="0093247C">
      <w:rPr>
        <w:rFonts w:ascii="D-DIN" w:hAnsi="D-DIN"/>
        <w:b/>
        <w:bCs/>
        <w:color w:val="000000"/>
        <w:sz w:val="16"/>
        <w:szCs w:val="16"/>
      </w:rPr>
      <w:fldChar w:fldCharType="begin"/>
    </w:r>
    <w:r w:rsidRPr="004A0665">
      <w:rPr>
        <w:rFonts w:ascii="D-DIN" w:hAnsi="D-DIN"/>
        <w:b/>
        <w:bCs/>
        <w:color w:val="000000"/>
        <w:sz w:val="16"/>
        <w:szCs w:val="16"/>
      </w:rPr>
      <w:instrText>PAGE   \* MERGEFORMAT</w:instrText>
    </w:r>
    <w:r w:rsidRPr="0093247C">
      <w:rPr>
        <w:rFonts w:ascii="D-DIN" w:hAnsi="D-DIN"/>
        <w:b/>
        <w:bCs/>
        <w:color w:val="000000"/>
        <w:sz w:val="16"/>
        <w:szCs w:val="16"/>
      </w:rPr>
      <w:fldChar w:fldCharType="separate"/>
    </w:r>
    <w:r w:rsidR="00210765">
      <w:rPr>
        <w:rFonts w:ascii="D-DIN" w:hAnsi="D-DIN"/>
        <w:b/>
        <w:bCs/>
        <w:noProof/>
        <w:color w:val="000000"/>
        <w:sz w:val="16"/>
        <w:szCs w:val="16"/>
      </w:rPr>
      <w:t>2</w:t>
    </w:r>
    <w:r w:rsidRPr="0093247C">
      <w:rPr>
        <w:rFonts w:ascii="D-DIN" w:hAnsi="D-DIN"/>
        <w:b/>
        <w:bCs/>
        <w:color w:val="000000"/>
        <w:sz w:val="16"/>
        <w:szCs w:val="16"/>
      </w:rPr>
      <w:fldChar w:fldCharType="end"/>
    </w:r>
  </w:p>
  <w:p w14:paraId="664DC8CE" w14:textId="77777777" w:rsidR="008F6675" w:rsidRPr="00664B23" w:rsidRDefault="008F66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E2867" w14:textId="14216F16" w:rsidR="008F6675" w:rsidRPr="004A0665" w:rsidRDefault="008F6675" w:rsidP="006963A9">
    <w:pPr>
      <w:pStyle w:val="Encabezado"/>
      <w:rPr>
        <w:rFonts w:ascii="D-DIN" w:hAnsi="D-DIN"/>
        <w:b/>
        <w:bCs/>
        <w:color w:val="000000"/>
        <w:sz w:val="16"/>
        <w:szCs w:val="16"/>
      </w:rPr>
    </w:pPr>
    <w:r w:rsidRPr="004A0665">
      <w:rPr>
        <w:rFonts w:ascii="D-DIN" w:hAnsi="D-DIN"/>
        <w:b/>
        <w:bCs/>
        <w:color w:val="000000"/>
        <w:sz w:val="28"/>
        <w:szCs w:val="28"/>
      </w:rPr>
      <w:t xml:space="preserve">  </w:t>
    </w:r>
    <w:r w:rsidRPr="004A0665">
      <w:rPr>
        <w:rFonts w:ascii="D-DIN" w:hAnsi="D-DIN"/>
        <w:b/>
        <w:bCs/>
        <w:color w:val="000000"/>
        <w:sz w:val="16"/>
        <w:szCs w:val="16"/>
      </w:rPr>
      <w:t xml:space="preserve">Pág. </w:t>
    </w:r>
    <w:r w:rsidRPr="0093247C">
      <w:rPr>
        <w:rFonts w:ascii="D-DIN" w:hAnsi="D-DIN"/>
        <w:b/>
        <w:bCs/>
        <w:color w:val="000000"/>
        <w:sz w:val="16"/>
        <w:szCs w:val="16"/>
      </w:rPr>
      <w:fldChar w:fldCharType="begin"/>
    </w:r>
    <w:r w:rsidRPr="004A0665">
      <w:rPr>
        <w:rFonts w:ascii="D-DIN" w:hAnsi="D-DIN"/>
        <w:b/>
        <w:bCs/>
        <w:color w:val="000000"/>
        <w:sz w:val="16"/>
        <w:szCs w:val="16"/>
      </w:rPr>
      <w:instrText>PAGE   \* MERGEFORMAT</w:instrText>
    </w:r>
    <w:r w:rsidRPr="0093247C">
      <w:rPr>
        <w:rFonts w:ascii="D-DIN" w:hAnsi="D-DIN"/>
        <w:b/>
        <w:bCs/>
        <w:color w:val="000000"/>
        <w:sz w:val="16"/>
        <w:szCs w:val="16"/>
      </w:rPr>
      <w:fldChar w:fldCharType="separate"/>
    </w:r>
    <w:r w:rsidR="00210765">
      <w:rPr>
        <w:rFonts w:ascii="D-DIN" w:hAnsi="D-DIN"/>
        <w:b/>
        <w:bCs/>
        <w:noProof/>
        <w:color w:val="000000"/>
        <w:sz w:val="16"/>
        <w:szCs w:val="16"/>
      </w:rPr>
      <w:t>1</w:t>
    </w:r>
    <w:r w:rsidRPr="0093247C">
      <w:rPr>
        <w:rFonts w:ascii="D-DIN" w:hAnsi="D-DIN"/>
        <w:b/>
        <w:bCs/>
        <w:color w:val="000000"/>
        <w:sz w:val="16"/>
        <w:szCs w:val="16"/>
      </w:rPr>
      <w:fldChar w:fldCharType="end"/>
    </w:r>
  </w:p>
  <w:p w14:paraId="6160E902" w14:textId="2D30640A" w:rsidR="008F6675" w:rsidRPr="006963A9" w:rsidRDefault="008F6675" w:rsidP="006963A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30C38" w14:textId="77777777" w:rsidR="003579E2" w:rsidRDefault="003579E2" w:rsidP="003F343B">
      <w:pPr>
        <w:spacing w:after="0" w:line="240" w:lineRule="auto"/>
      </w:pPr>
      <w:r>
        <w:separator/>
      </w:r>
    </w:p>
  </w:footnote>
  <w:footnote w:type="continuationSeparator" w:id="0">
    <w:p w14:paraId="24D8F0E4" w14:textId="77777777" w:rsidR="003579E2" w:rsidRDefault="003579E2" w:rsidP="003F34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14FB" w14:textId="1BBA8491" w:rsidR="008F6675" w:rsidRPr="003F343B" w:rsidRDefault="008F6675" w:rsidP="009D73C9">
    <w:pPr>
      <w:pStyle w:val="Encabezado"/>
      <w:jc w:val="center"/>
      <w:rPr>
        <w:rFonts w:ascii="D-DIN" w:hAnsi="D-DIN"/>
        <w:b/>
        <w:bCs/>
        <w:color w:val="001CA8"/>
        <w:sz w:val="28"/>
        <w:szCs w:val="28"/>
      </w:rPr>
    </w:pPr>
  </w:p>
  <w:p w14:paraId="4889E535" w14:textId="5D7C81EB" w:rsidR="008F6675" w:rsidRDefault="00AC0B98">
    <w:r>
      <w:rPr>
        <w:noProof/>
      </w:rPr>
      <w:drawing>
        <wp:anchor distT="0" distB="0" distL="114300" distR="114300" simplePos="0" relativeHeight="251659264" behindDoc="0" locked="0" layoutInCell="1" allowOverlap="1" wp14:anchorId="1E200733" wp14:editId="078341B4">
          <wp:simplePos x="0" y="0"/>
          <wp:positionH relativeFrom="margin">
            <wp:posOffset>5387340</wp:posOffset>
          </wp:positionH>
          <wp:positionV relativeFrom="margin">
            <wp:posOffset>-1139190</wp:posOffset>
          </wp:positionV>
          <wp:extent cx="1349375" cy="1254760"/>
          <wp:effectExtent l="0" t="0" r="3175" b="2540"/>
          <wp:wrapSquare wrapText="bothSides"/>
          <wp:docPr id="1" name="Picture 7" descr="A close up of a logo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 close up of a logo&#10;&#10;Description automatically generated"/>
                  <pic:cNvPicPr>
                    <a:picLocks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132"/>
                  <a:stretch/>
                </pic:blipFill>
                <pic:spPr bwMode="auto">
                  <a:xfrm>
                    <a:off x="0" y="0"/>
                    <a:ext cx="1349375" cy="12547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7A6E"/>
    <w:multiLevelType w:val="hybridMultilevel"/>
    <w:tmpl w:val="D0003A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F2532"/>
    <w:multiLevelType w:val="hybridMultilevel"/>
    <w:tmpl w:val="43348492"/>
    <w:lvl w:ilvl="0" w:tplc="03F6652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C0D97"/>
    <w:multiLevelType w:val="hybridMultilevel"/>
    <w:tmpl w:val="DAFA3CEE"/>
    <w:lvl w:ilvl="0" w:tplc="AD3099F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280F25"/>
    <w:multiLevelType w:val="hybridMultilevel"/>
    <w:tmpl w:val="F98E7EA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CC156A"/>
    <w:multiLevelType w:val="hybridMultilevel"/>
    <w:tmpl w:val="69BCB3A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347C5"/>
    <w:multiLevelType w:val="hybridMultilevel"/>
    <w:tmpl w:val="0CB26DFC"/>
    <w:lvl w:ilvl="0" w:tplc="AA7E49A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A8009F"/>
    <w:multiLevelType w:val="hybridMultilevel"/>
    <w:tmpl w:val="0EE4BCB0"/>
    <w:lvl w:ilvl="0" w:tplc="5B3C97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176B4"/>
    <w:multiLevelType w:val="hybridMultilevel"/>
    <w:tmpl w:val="500AE404"/>
    <w:lvl w:ilvl="0" w:tplc="DA2200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AD16DC"/>
    <w:multiLevelType w:val="hybridMultilevel"/>
    <w:tmpl w:val="14A0C48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45187014">
    <w:abstractNumId w:val="2"/>
  </w:num>
  <w:num w:numId="2" w16cid:durableId="671183674">
    <w:abstractNumId w:val="3"/>
  </w:num>
  <w:num w:numId="3" w16cid:durableId="1048644659">
    <w:abstractNumId w:val="7"/>
  </w:num>
  <w:num w:numId="4" w16cid:durableId="878009639">
    <w:abstractNumId w:val="2"/>
  </w:num>
  <w:num w:numId="5" w16cid:durableId="1573930945">
    <w:abstractNumId w:val="8"/>
  </w:num>
  <w:num w:numId="6" w16cid:durableId="1334914072">
    <w:abstractNumId w:val="6"/>
  </w:num>
  <w:num w:numId="7" w16cid:durableId="1122306469">
    <w:abstractNumId w:val="5"/>
  </w:num>
  <w:num w:numId="8" w16cid:durableId="78253132">
    <w:abstractNumId w:val="0"/>
  </w:num>
  <w:num w:numId="9" w16cid:durableId="1165246932">
    <w:abstractNumId w:val="4"/>
  </w:num>
  <w:num w:numId="10" w16cid:durableId="944117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43B"/>
    <w:rsid w:val="00002F9F"/>
    <w:rsid w:val="0001395B"/>
    <w:rsid w:val="00014891"/>
    <w:rsid w:val="000158AD"/>
    <w:rsid w:val="00016E71"/>
    <w:rsid w:val="000174F2"/>
    <w:rsid w:val="0001783B"/>
    <w:rsid w:val="00024A0E"/>
    <w:rsid w:val="00040AFC"/>
    <w:rsid w:val="000568F1"/>
    <w:rsid w:val="000636F6"/>
    <w:rsid w:val="00065D1D"/>
    <w:rsid w:val="0007092E"/>
    <w:rsid w:val="00073A4B"/>
    <w:rsid w:val="00076709"/>
    <w:rsid w:val="00083447"/>
    <w:rsid w:val="000840B4"/>
    <w:rsid w:val="0008426A"/>
    <w:rsid w:val="000862FB"/>
    <w:rsid w:val="000911D0"/>
    <w:rsid w:val="0009498F"/>
    <w:rsid w:val="000978D0"/>
    <w:rsid w:val="000A4A9D"/>
    <w:rsid w:val="000A6DF4"/>
    <w:rsid w:val="000B0307"/>
    <w:rsid w:val="000B0390"/>
    <w:rsid w:val="000B4881"/>
    <w:rsid w:val="000C0A59"/>
    <w:rsid w:val="000C55A8"/>
    <w:rsid w:val="000C598A"/>
    <w:rsid w:val="000D1041"/>
    <w:rsid w:val="000D3EE0"/>
    <w:rsid w:val="000E0AED"/>
    <w:rsid w:val="000E0FF3"/>
    <w:rsid w:val="000E72B6"/>
    <w:rsid w:val="000F0F68"/>
    <w:rsid w:val="000F3903"/>
    <w:rsid w:val="000F60D9"/>
    <w:rsid w:val="00100834"/>
    <w:rsid w:val="001010EA"/>
    <w:rsid w:val="00105299"/>
    <w:rsid w:val="00106450"/>
    <w:rsid w:val="001101EA"/>
    <w:rsid w:val="00111D3B"/>
    <w:rsid w:val="00116CB3"/>
    <w:rsid w:val="001218A6"/>
    <w:rsid w:val="00124D02"/>
    <w:rsid w:val="00127E7A"/>
    <w:rsid w:val="00133439"/>
    <w:rsid w:val="001350B3"/>
    <w:rsid w:val="0013597A"/>
    <w:rsid w:val="001360A9"/>
    <w:rsid w:val="00140286"/>
    <w:rsid w:val="00143732"/>
    <w:rsid w:val="00144642"/>
    <w:rsid w:val="0015054B"/>
    <w:rsid w:val="001544FC"/>
    <w:rsid w:val="001604C7"/>
    <w:rsid w:val="00163FDD"/>
    <w:rsid w:val="0016554F"/>
    <w:rsid w:val="00170ECF"/>
    <w:rsid w:val="00174530"/>
    <w:rsid w:val="00174AD1"/>
    <w:rsid w:val="00187083"/>
    <w:rsid w:val="00191584"/>
    <w:rsid w:val="0019366A"/>
    <w:rsid w:val="00195464"/>
    <w:rsid w:val="001A6EB1"/>
    <w:rsid w:val="001A7979"/>
    <w:rsid w:val="001A7F27"/>
    <w:rsid w:val="001B0CB2"/>
    <w:rsid w:val="001B62F0"/>
    <w:rsid w:val="001B7308"/>
    <w:rsid w:val="001B7F2C"/>
    <w:rsid w:val="001C3476"/>
    <w:rsid w:val="001C3836"/>
    <w:rsid w:val="001C4FBF"/>
    <w:rsid w:val="001D360C"/>
    <w:rsid w:val="001D4B52"/>
    <w:rsid w:val="001E0C5B"/>
    <w:rsid w:val="001E1E2C"/>
    <w:rsid w:val="001E23A2"/>
    <w:rsid w:val="001E410B"/>
    <w:rsid w:val="001E5392"/>
    <w:rsid w:val="001E5937"/>
    <w:rsid w:val="001F2D53"/>
    <w:rsid w:val="001F3591"/>
    <w:rsid w:val="001F360A"/>
    <w:rsid w:val="001F3BE5"/>
    <w:rsid w:val="001F41C1"/>
    <w:rsid w:val="00201C9E"/>
    <w:rsid w:val="00204D68"/>
    <w:rsid w:val="00206765"/>
    <w:rsid w:val="00210765"/>
    <w:rsid w:val="0021120C"/>
    <w:rsid w:val="00216A41"/>
    <w:rsid w:val="00216BD4"/>
    <w:rsid w:val="00227010"/>
    <w:rsid w:val="0023013C"/>
    <w:rsid w:val="00232714"/>
    <w:rsid w:val="00233227"/>
    <w:rsid w:val="002334E6"/>
    <w:rsid w:val="002346D7"/>
    <w:rsid w:val="00242FE2"/>
    <w:rsid w:val="00247C36"/>
    <w:rsid w:val="00262606"/>
    <w:rsid w:val="00264E8A"/>
    <w:rsid w:val="00266E55"/>
    <w:rsid w:val="0027039D"/>
    <w:rsid w:val="00280898"/>
    <w:rsid w:val="002809E3"/>
    <w:rsid w:val="002831BF"/>
    <w:rsid w:val="002906F7"/>
    <w:rsid w:val="002919FE"/>
    <w:rsid w:val="00292CE6"/>
    <w:rsid w:val="002937EC"/>
    <w:rsid w:val="002A0463"/>
    <w:rsid w:val="002A164F"/>
    <w:rsid w:val="002A28DF"/>
    <w:rsid w:val="002A393E"/>
    <w:rsid w:val="002A6D96"/>
    <w:rsid w:val="002B53A4"/>
    <w:rsid w:val="002C0BCE"/>
    <w:rsid w:val="002C0EB8"/>
    <w:rsid w:val="002C0F83"/>
    <w:rsid w:val="002C272B"/>
    <w:rsid w:val="002C3F7C"/>
    <w:rsid w:val="002C4C86"/>
    <w:rsid w:val="002D3BFC"/>
    <w:rsid w:val="002D4B29"/>
    <w:rsid w:val="002D509C"/>
    <w:rsid w:val="002D5B89"/>
    <w:rsid w:val="002D7A50"/>
    <w:rsid w:val="002F1627"/>
    <w:rsid w:val="002F429A"/>
    <w:rsid w:val="002F5862"/>
    <w:rsid w:val="00301C4E"/>
    <w:rsid w:val="0030213A"/>
    <w:rsid w:val="00303DA1"/>
    <w:rsid w:val="00304071"/>
    <w:rsid w:val="00306E49"/>
    <w:rsid w:val="00313733"/>
    <w:rsid w:val="00314DF5"/>
    <w:rsid w:val="00315561"/>
    <w:rsid w:val="0031693E"/>
    <w:rsid w:val="00316C01"/>
    <w:rsid w:val="00323461"/>
    <w:rsid w:val="00325852"/>
    <w:rsid w:val="00327C5B"/>
    <w:rsid w:val="00333757"/>
    <w:rsid w:val="00333D3D"/>
    <w:rsid w:val="00336442"/>
    <w:rsid w:val="00340242"/>
    <w:rsid w:val="003402D2"/>
    <w:rsid w:val="00343742"/>
    <w:rsid w:val="00344DBE"/>
    <w:rsid w:val="00353891"/>
    <w:rsid w:val="003539AE"/>
    <w:rsid w:val="00355E21"/>
    <w:rsid w:val="003579E2"/>
    <w:rsid w:val="00360BE1"/>
    <w:rsid w:val="00363D0F"/>
    <w:rsid w:val="00376399"/>
    <w:rsid w:val="00380EFE"/>
    <w:rsid w:val="003812BE"/>
    <w:rsid w:val="00384DF5"/>
    <w:rsid w:val="003947AA"/>
    <w:rsid w:val="00394AF9"/>
    <w:rsid w:val="00394F54"/>
    <w:rsid w:val="003A6898"/>
    <w:rsid w:val="003A74B1"/>
    <w:rsid w:val="003B126A"/>
    <w:rsid w:val="003B345B"/>
    <w:rsid w:val="003B4FCA"/>
    <w:rsid w:val="003B5201"/>
    <w:rsid w:val="003C3064"/>
    <w:rsid w:val="003C4320"/>
    <w:rsid w:val="003C6F58"/>
    <w:rsid w:val="003D1DCF"/>
    <w:rsid w:val="003D1E22"/>
    <w:rsid w:val="003D5F61"/>
    <w:rsid w:val="003E19B9"/>
    <w:rsid w:val="003E4785"/>
    <w:rsid w:val="003E72DE"/>
    <w:rsid w:val="003F1B9D"/>
    <w:rsid w:val="003F335D"/>
    <w:rsid w:val="003F343B"/>
    <w:rsid w:val="003F381A"/>
    <w:rsid w:val="003F38A0"/>
    <w:rsid w:val="003F55D0"/>
    <w:rsid w:val="00404566"/>
    <w:rsid w:val="00404C62"/>
    <w:rsid w:val="004055E9"/>
    <w:rsid w:val="00407C82"/>
    <w:rsid w:val="004107F9"/>
    <w:rsid w:val="00413C8D"/>
    <w:rsid w:val="00421F54"/>
    <w:rsid w:val="00425A64"/>
    <w:rsid w:val="004305E5"/>
    <w:rsid w:val="00430BE0"/>
    <w:rsid w:val="00432538"/>
    <w:rsid w:val="00437AC3"/>
    <w:rsid w:val="004409FF"/>
    <w:rsid w:val="0044246F"/>
    <w:rsid w:val="004428B8"/>
    <w:rsid w:val="00444B45"/>
    <w:rsid w:val="00445039"/>
    <w:rsid w:val="004470E6"/>
    <w:rsid w:val="00447BFD"/>
    <w:rsid w:val="00450F9A"/>
    <w:rsid w:val="00454EA2"/>
    <w:rsid w:val="0045582F"/>
    <w:rsid w:val="00455A06"/>
    <w:rsid w:val="00457581"/>
    <w:rsid w:val="004611AC"/>
    <w:rsid w:val="00465EDA"/>
    <w:rsid w:val="00472682"/>
    <w:rsid w:val="004728E4"/>
    <w:rsid w:val="004765AF"/>
    <w:rsid w:val="0049495B"/>
    <w:rsid w:val="004A0665"/>
    <w:rsid w:val="004A124F"/>
    <w:rsid w:val="004A7B26"/>
    <w:rsid w:val="004B1E04"/>
    <w:rsid w:val="004B3E49"/>
    <w:rsid w:val="004B529F"/>
    <w:rsid w:val="004B7B02"/>
    <w:rsid w:val="004B7B8B"/>
    <w:rsid w:val="004D30B0"/>
    <w:rsid w:val="004D3206"/>
    <w:rsid w:val="004D671C"/>
    <w:rsid w:val="004D6F99"/>
    <w:rsid w:val="004E3B25"/>
    <w:rsid w:val="004F20EB"/>
    <w:rsid w:val="004F66EF"/>
    <w:rsid w:val="004F7F4E"/>
    <w:rsid w:val="0050270C"/>
    <w:rsid w:val="005053BD"/>
    <w:rsid w:val="00506C22"/>
    <w:rsid w:val="00511508"/>
    <w:rsid w:val="005119A2"/>
    <w:rsid w:val="00513A08"/>
    <w:rsid w:val="00514CF0"/>
    <w:rsid w:val="005161B6"/>
    <w:rsid w:val="005235A3"/>
    <w:rsid w:val="005239B7"/>
    <w:rsid w:val="00523B4F"/>
    <w:rsid w:val="00526467"/>
    <w:rsid w:val="005327B5"/>
    <w:rsid w:val="0053532A"/>
    <w:rsid w:val="005459DF"/>
    <w:rsid w:val="00555827"/>
    <w:rsid w:val="0055771B"/>
    <w:rsid w:val="00560BB5"/>
    <w:rsid w:val="0056695D"/>
    <w:rsid w:val="0058159D"/>
    <w:rsid w:val="00581CD7"/>
    <w:rsid w:val="0058591A"/>
    <w:rsid w:val="00592D47"/>
    <w:rsid w:val="005A1711"/>
    <w:rsid w:val="005A6355"/>
    <w:rsid w:val="005C49E4"/>
    <w:rsid w:val="005C4C7A"/>
    <w:rsid w:val="005C5D6D"/>
    <w:rsid w:val="005C6D50"/>
    <w:rsid w:val="005D27C4"/>
    <w:rsid w:val="005D2D43"/>
    <w:rsid w:val="005D3704"/>
    <w:rsid w:val="005D4B94"/>
    <w:rsid w:val="005E1C22"/>
    <w:rsid w:val="005E25E6"/>
    <w:rsid w:val="005E570F"/>
    <w:rsid w:val="005E7B2A"/>
    <w:rsid w:val="005F1775"/>
    <w:rsid w:val="005F1BD4"/>
    <w:rsid w:val="005F6701"/>
    <w:rsid w:val="00611F4B"/>
    <w:rsid w:val="00616191"/>
    <w:rsid w:val="00624938"/>
    <w:rsid w:val="00624D68"/>
    <w:rsid w:val="0063327B"/>
    <w:rsid w:val="00633BA5"/>
    <w:rsid w:val="006342E2"/>
    <w:rsid w:val="00635466"/>
    <w:rsid w:val="006358F1"/>
    <w:rsid w:val="006360F9"/>
    <w:rsid w:val="00636167"/>
    <w:rsid w:val="006403A3"/>
    <w:rsid w:val="006404EC"/>
    <w:rsid w:val="00641C28"/>
    <w:rsid w:val="00642DE7"/>
    <w:rsid w:val="0065207A"/>
    <w:rsid w:val="0065635D"/>
    <w:rsid w:val="006609F8"/>
    <w:rsid w:val="00662335"/>
    <w:rsid w:val="00663657"/>
    <w:rsid w:val="00664B23"/>
    <w:rsid w:val="0067255F"/>
    <w:rsid w:val="00674898"/>
    <w:rsid w:val="006815BF"/>
    <w:rsid w:val="0068695E"/>
    <w:rsid w:val="006936C1"/>
    <w:rsid w:val="006939D9"/>
    <w:rsid w:val="00695DF3"/>
    <w:rsid w:val="00695EFE"/>
    <w:rsid w:val="006963A9"/>
    <w:rsid w:val="00697EE1"/>
    <w:rsid w:val="006B4443"/>
    <w:rsid w:val="006C3E74"/>
    <w:rsid w:val="006C405B"/>
    <w:rsid w:val="006D049B"/>
    <w:rsid w:val="006D16A8"/>
    <w:rsid w:val="006D7284"/>
    <w:rsid w:val="006D7C9F"/>
    <w:rsid w:val="006E0825"/>
    <w:rsid w:val="006E35F3"/>
    <w:rsid w:val="006E4C7D"/>
    <w:rsid w:val="006E70FA"/>
    <w:rsid w:val="006E791E"/>
    <w:rsid w:val="006E7BF1"/>
    <w:rsid w:val="006E7E79"/>
    <w:rsid w:val="006F7005"/>
    <w:rsid w:val="006F7A8B"/>
    <w:rsid w:val="00715107"/>
    <w:rsid w:val="00715FF7"/>
    <w:rsid w:val="00721F06"/>
    <w:rsid w:val="00727132"/>
    <w:rsid w:val="00727F19"/>
    <w:rsid w:val="00731A0D"/>
    <w:rsid w:val="0074296E"/>
    <w:rsid w:val="007447AD"/>
    <w:rsid w:val="00750B9A"/>
    <w:rsid w:val="00750E3E"/>
    <w:rsid w:val="00752672"/>
    <w:rsid w:val="00753BE4"/>
    <w:rsid w:val="00756291"/>
    <w:rsid w:val="0075714B"/>
    <w:rsid w:val="00764F2B"/>
    <w:rsid w:val="00764F58"/>
    <w:rsid w:val="00767F9C"/>
    <w:rsid w:val="00770C34"/>
    <w:rsid w:val="007747CF"/>
    <w:rsid w:val="007773C7"/>
    <w:rsid w:val="0078182F"/>
    <w:rsid w:val="00781E1D"/>
    <w:rsid w:val="007834D1"/>
    <w:rsid w:val="00784037"/>
    <w:rsid w:val="007855FB"/>
    <w:rsid w:val="0079039D"/>
    <w:rsid w:val="007910B3"/>
    <w:rsid w:val="007968DA"/>
    <w:rsid w:val="007978FA"/>
    <w:rsid w:val="007A6221"/>
    <w:rsid w:val="007A642B"/>
    <w:rsid w:val="007A6DD1"/>
    <w:rsid w:val="007B5571"/>
    <w:rsid w:val="007C0824"/>
    <w:rsid w:val="007C6CC7"/>
    <w:rsid w:val="007D0A32"/>
    <w:rsid w:val="007D0CBA"/>
    <w:rsid w:val="007D5D65"/>
    <w:rsid w:val="007D62EB"/>
    <w:rsid w:val="007E103E"/>
    <w:rsid w:val="007E1709"/>
    <w:rsid w:val="007E5A21"/>
    <w:rsid w:val="007E72D5"/>
    <w:rsid w:val="007E74E9"/>
    <w:rsid w:val="007F0D74"/>
    <w:rsid w:val="007F240E"/>
    <w:rsid w:val="007F2E89"/>
    <w:rsid w:val="007F37E6"/>
    <w:rsid w:val="008004F5"/>
    <w:rsid w:val="00800D8D"/>
    <w:rsid w:val="008013C7"/>
    <w:rsid w:val="00803480"/>
    <w:rsid w:val="008163AD"/>
    <w:rsid w:val="008179BA"/>
    <w:rsid w:val="00817E95"/>
    <w:rsid w:val="0082056A"/>
    <w:rsid w:val="00830F72"/>
    <w:rsid w:val="00834295"/>
    <w:rsid w:val="0083533A"/>
    <w:rsid w:val="00836BC8"/>
    <w:rsid w:val="00843A7D"/>
    <w:rsid w:val="00846AC0"/>
    <w:rsid w:val="00847C0D"/>
    <w:rsid w:val="00850D7E"/>
    <w:rsid w:val="008576CA"/>
    <w:rsid w:val="00864409"/>
    <w:rsid w:val="00866366"/>
    <w:rsid w:val="00870A45"/>
    <w:rsid w:val="00873211"/>
    <w:rsid w:val="008764EC"/>
    <w:rsid w:val="00877543"/>
    <w:rsid w:val="00877BB4"/>
    <w:rsid w:val="00877D35"/>
    <w:rsid w:val="008816D2"/>
    <w:rsid w:val="0088284F"/>
    <w:rsid w:val="00885022"/>
    <w:rsid w:val="0088547E"/>
    <w:rsid w:val="00895F4F"/>
    <w:rsid w:val="008B46FE"/>
    <w:rsid w:val="008C08C4"/>
    <w:rsid w:val="008C26FC"/>
    <w:rsid w:val="008D01FA"/>
    <w:rsid w:val="008D2604"/>
    <w:rsid w:val="008D26A4"/>
    <w:rsid w:val="008E79CD"/>
    <w:rsid w:val="008F1633"/>
    <w:rsid w:val="008F6675"/>
    <w:rsid w:val="008F6DBD"/>
    <w:rsid w:val="009007B0"/>
    <w:rsid w:val="00902376"/>
    <w:rsid w:val="009058EE"/>
    <w:rsid w:val="00917F46"/>
    <w:rsid w:val="00920AC4"/>
    <w:rsid w:val="0092424E"/>
    <w:rsid w:val="00925624"/>
    <w:rsid w:val="009278D9"/>
    <w:rsid w:val="0093247C"/>
    <w:rsid w:val="00935152"/>
    <w:rsid w:val="00940291"/>
    <w:rsid w:val="009419F2"/>
    <w:rsid w:val="00947F41"/>
    <w:rsid w:val="009516B8"/>
    <w:rsid w:val="00951CFF"/>
    <w:rsid w:val="00953A0A"/>
    <w:rsid w:val="009564CB"/>
    <w:rsid w:val="00960A26"/>
    <w:rsid w:val="009619B7"/>
    <w:rsid w:val="00962FAC"/>
    <w:rsid w:val="00963063"/>
    <w:rsid w:val="00966ECE"/>
    <w:rsid w:val="009709CE"/>
    <w:rsid w:val="009721FA"/>
    <w:rsid w:val="0097291B"/>
    <w:rsid w:val="0097357A"/>
    <w:rsid w:val="00976B13"/>
    <w:rsid w:val="0098043E"/>
    <w:rsid w:val="00981AD3"/>
    <w:rsid w:val="00981C33"/>
    <w:rsid w:val="00981CDC"/>
    <w:rsid w:val="009831B0"/>
    <w:rsid w:val="0098487C"/>
    <w:rsid w:val="00984F36"/>
    <w:rsid w:val="009910DE"/>
    <w:rsid w:val="00991815"/>
    <w:rsid w:val="009922CA"/>
    <w:rsid w:val="009935C4"/>
    <w:rsid w:val="009936EB"/>
    <w:rsid w:val="009943B9"/>
    <w:rsid w:val="009949E9"/>
    <w:rsid w:val="00997BA5"/>
    <w:rsid w:val="009A5A8C"/>
    <w:rsid w:val="009B3643"/>
    <w:rsid w:val="009B4F25"/>
    <w:rsid w:val="009B5178"/>
    <w:rsid w:val="009B5B03"/>
    <w:rsid w:val="009B6590"/>
    <w:rsid w:val="009C49F7"/>
    <w:rsid w:val="009C4F3D"/>
    <w:rsid w:val="009C69EB"/>
    <w:rsid w:val="009D198C"/>
    <w:rsid w:val="009D572E"/>
    <w:rsid w:val="009D5F87"/>
    <w:rsid w:val="009D73C9"/>
    <w:rsid w:val="009E17BC"/>
    <w:rsid w:val="009E3704"/>
    <w:rsid w:val="009E3E65"/>
    <w:rsid w:val="009E5AB2"/>
    <w:rsid w:val="009F72E2"/>
    <w:rsid w:val="00A02257"/>
    <w:rsid w:val="00A038FC"/>
    <w:rsid w:val="00A0576D"/>
    <w:rsid w:val="00A111E3"/>
    <w:rsid w:val="00A1249B"/>
    <w:rsid w:val="00A13641"/>
    <w:rsid w:val="00A20307"/>
    <w:rsid w:val="00A20A51"/>
    <w:rsid w:val="00A212BB"/>
    <w:rsid w:val="00A2177E"/>
    <w:rsid w:val="00A25955"/>
    <w:rsid w:val="00A27D12"/>
    <w:rsid w:val="00A3182F"/>
    <w:rsid w:val="00A32E02"/>
    <w:rsid w:val="00A3436C"/>
    <w:rsid w:val="00A35BEE"/>
    <w:rsid w:val="00A50531"/>
    <w:rsid w:val="00A615E2"/>
    <w:rsid w:val="00A621D0"/>
    <w:rsid w:val="00A62E6D"/>
    <w:rsid w:val="00A637FA"/>
    <w:rsid w:val="00A658FB"/>
    <w:rsid w:val="00A677EB"/>
    <w:rsid w:val="00A70E46"/>
    <w:rsid w:val="00A75D89"/>
    <w:rsid w:val="00A77F66"/>
    <w:rsid w:val="00A8147B"/>
    <w:rsid w:val="00A8162E"/>
    <w:rsid w:val="00A81EB6"/>
    <w:rsid w:val="00A81F09"/>
    <w:rsid w:val="00A82981"/>
    <w:rsid w:val="00A82F47"/>
    <w:rsid w:val="00A84D4D"/>
    <w:rsid w:val="00A850DC"/>
    <w:rsid w:val="00A85EDE"/>
    <w:rsid w:val="00A90957"/>
    <w:rsid w:val="00A93469"/>
    <w:rsid w:val="00A97D09"/>
    <w:rsid w:val="00AA226E"/>
    <w:rsid w:val="00AA4E38"/>
    <w:rsid w:val="00AA692B"/>
    <w:rsid w:val="00AB1037"/>
    <w:rsid w:val="00AB1DE9"/>
    <w:rsid w:val="00AB2F16"/>
    <w:rsid w:val="00AB7AB0"/>
    <w:rsid w:val="00AC0B98"/>
    <w:rsid w:val="00AC1830"/>
    <w:rsid w:val="00AC6E2B"/>
    <w:rsid w:val="00AD1E6E"/>
    <w:rsid w:val="00AE3474"/>
    <w:rsid w:val="00AE591E"/>
    <w:rsid w:val="00AE6D6B"/>
    <w:rsid w:val="00AF33DD"/>
    <w:rsid w:val="00AF366C"/>
    <w:rsid w:val="00B034EC"/>
    <w:rsid w:val="00B05175"/>
    <w:rsid w:val="00B060C9"/>
    <w:rsid w:val="00B1041D"/>
    <w:rsid w:val="00B15939"/>
    <w:rsid w:val="00B23F6F"/>
    <w:rsid w:val="00B247E6"/>
    <w:rsid w:val="00B26555"/>
    <w:rsid w:val="00B26A08"/>
    <w:rsid w:val="00B322C4"/>
    <w:rsid w:val="00B3525C"/>
    <w:rsid w:val="00B35913"/>
    <w:rsid w:val="00B3604B"/>
    <w:rsid w:val="00B36A80"/>
    <w:rsid w:val="00B40E67"/>
    <w:rsid w:val="00B43522"/>
    <w:rsid w:val="00B45741"/>
    <w:rsid w:val="00B524F5"/>
    <w:rsid w:val="00B562CC"/>
    <w:rsid w:val="00B61663"/>
    <w:rsid w:val="00B64218"/>
    <w:rsid w:val="00B653DD"/>
    <w:rsid w:val="00B711B9"/>
    <w:rsid w:val="00B7452C"/>
    <w:rsid w:val="00B746E9"/>
    <w:rsid w:val="00B74D8A"/>
    <w:rsid w:val="00B75479"/>
    <w:rsid w:val="00B75583"/>
    <w:rsid w:val="00B805F0"/>
    <w:rsid w:val="00B856B1"/>
    <w:rsid w:val="00B86E86"/>
    <w:rsid w:val="00B914B4"/>
    <w:rsid w:val="00B959D2"/>
    <w:rsid w:val="00B95D60"/>
    <w:rsid w:val="00B97FFA"/>
    <w:rsid w:val="00BA0748"/>
    <w:rsid w:val="00BB28CE"/>
    <w:rsid w:val="00BB37D0"/>
    <w:rsid w:val="00BC14BF"/>
    <w:rsid w:val="00BD1C8C"/>
    <w:rsid w:val="00BD1E2D"/>
    <w:rsid w:val="00BE0E36"/>
    <w:rsid w:val="00BF1BED"/>
    <w:rsid w:val="00BF2C79"/>
    <w:rsid w:val="00BF7F2C"/>
    <w:rsid w:val="00C016B5"/>
    <w:rsid w:val="00C01989"/>
    <w:rsid w:val="00C03539"/>
    <w:rsid w:val="00C0600C"/>
    <w:rsid w:val="00C07069"/>
    <w:rsid w:val="00C122C7"/>
    <w:rsid w:val="00C153F9"/>
    <w:rsid w:val="00C154D2"/>
    <w:rsid w:val="00C21500"/>
    <w:rsid w:val="00C21B50"/>
    <w:rsid w:val="00C21BBD"/>
    <w:rsid w:val="00C2595D"/>
    <w:rsid w:val="00C26A76"/>
    <w:rsid w:val="00C30AFC"/>
    <w:rsid w:val="00C30E27"/>
    <w:rsid w:val="00C32764"/>
    <w:rsid w:val="00C354E3"/>
    <w:rsid w:val="00C40C69"/>
    <w:rsid w:val="00C417D7"/>
    <w:rsid w:val="00C43243"/>
    <w:rsid w:val="00C45322"/>
    <w:rsid w:val="00C456DD"/>
    <w:rsid w:val="00C478D0"/>
    <w:rsid w:val="00C508F4"/>
    <w:rsid w:val="00C51BC8"/>
    <w:rsid w:val="00C62674"/>
    <w:rsid w:val="00C7560D"/>
    <w:rsid w:val="00C75D42"/>
    <w:rsid w:val="00C77E86"/>
    <w:rsid w:val="00C82280"/>
    <w:rsid w:val="00C82F43"/>
    <w:rsid w:val="00C83F3E"/>
    <w:rsid w:val="00C876BE"/>
    <w:rsid w:val="00C8773D"/>
    <w:rsid w:val="00C91842"/>
    <w:rsid w:val="00C92876"/>
    <w:rsid w:val="00C93656"/>
    <w:rsid w:val="00C94AE7"/>
    <w:rsid w:val="00C977A6"/>
    <w:rsid w:val="00CA0126"/>
    <w:rsid w:val="00CA3A1B"/>
    <w:rsid w:val="00CB329A"/>
    <w:rsid w:val="00CB7F28"/>
    <w:rsid w:val="00CC26B7"/>
    <w:rsid w:val="00CC4399"/>
    <w:rsid w:val="00CD1EE9"/>
    <w:rsid w:val="00CD53B1"/>
    <w:rsid w:val="00CE27F1"/>
    <w:rsid w:val="00CE7765"/>
    <w:rsid w:val="00CF3E7D"/>
    <w:rsid w:val="00CF6335"/>
    <w:rsid w:val="00D02AB1"/>
    <w:rsid w:val="00D04743"/>
    <w:rsid w:val="00D057D3"/>
    <w:rsid w:val="00D07498"/>
    <w:rsid w:val="00D07BD0"/>
    <w:rsid w:val="00D11B7D"/>
    <w:rsid w:val="00D1625C"/>
    <w:rsid w:val="00D23611"/>
    <w:rsid w:val="00D245DC"/>
    <w:rsid w:val="00D25438"/>
    <w:rsid w:val="00D2763A"/>
    <w:rsid w:val="00D3326C"/>
    <w:rsid w:val="00D35B3E"/>
    <w:rsid w:val="00D40303"/>
    <w:rsid w:val="00D409FB"/>
    <w:rsid w:val="00D43974"/>
    <w:rsid w:val="00D43C87"/>
    <w:rsid w:val="00D50284"/>
    <w:rsid w:val="00D53F8D"/>
    <w:rsid w:val="00D550F6"/>
    <w:rsid w:val="00D56F0A"/>
    <w:rsid w:val="00D619B0"/>
    <w:rsid w:val="00D642E9"/>
    <w:rsid w:val="00D72341"/>
    <w:rsid w:val="00D749B7"/>
    <w:rsid w:val="00D76BF7"/>
    <w:rsid w:val="00D77AEE"/>
    <w:rsid w:val="00D82946"/>
    <w:rsid w:val="00D83CCF"/>
    <w:rsid w:val="00D91FB0"/>
    <w:rsid w:val="00D952C7"/>
    <w:rsid w:val="00DA168C"/>
    <w:rsid w:val="00DA1D6E"/>
    <w:rsid w:val="00DA2D62"/>
    <w:rsid w:val="00DA4E67"/>
    <w:rsid w:val="00DB170D"/>
    <w:rsid w:val="00DC10DA"/>
    <w:rsid w:val="00DD2B47"/>
    <w:rsid w:val="00DD2D69"/>
    <w:rsid w:val="00DD39ED"/>
    <w:rsid w:val="00DD470E"/>
    <w:rsid w:val="00DD503C"/>
    <w:rsid w:val="00DD7DB7"/>
    <w:rsid w:val="00DD7FA1"/>
    <w:rsid w:val="00DE164A"/>
    <w:rsid w:val="00DE1FF9"/>
    <w:rsid w:val="00DE200C"/>
    <w:rsid w:val="00DE20CB"/>
    <w:rsid w:val="00DE528D"/>
    <w:rsid w:val="00DF3A55"/>
    <w:rsid w:val="00DF59AE"/>
    <w:rsid w:val="00DF6783"/>
    <w:rsid w:val="00E02562"/>
    <w:rsid w:val="00E02A24"/>
    <w:rsid w:val="00E04759"/>
    <w:rsid w:val="00E1533E"/>
    <w:rsid w:val="00E16968"/>
    <w:rsid w:val="00E265C5"/>
    <w:rsid w:val="00E26EA9"/>
    <w:rsid w:val="00E33D9D"/>
    <w:rsid w:val="00E4016E"/>
    <w:rsid w:val="00E409D9"/>
    <w:rsid w:val="00E40CB4"/>
    <w:rsid w:val="00E40FD7"/>
    <w:rsid w:val="00E43C05"/>
    <w:rsid w:val="00E44109"/>
    <w:rsid w:val="00E457A6"/>
    <w:rsid w:val="00E45B5D"/>
    <w:rsid w:val="00E51AE7"/>
    <w:rsid w:val="00E55BBA"/>
    <w:rsid w:val="00E55F3A"/>
    <w:rsid w:val="00E571EC"/>
    <w:rsid w:val="00E60539"/>
    <w:rsid w:val="00E62DC8"/>
    <w:rsid w:val="00E64511"/>
    <w:rsid w:val="00E64C12"/>
    <w:rsid w:val="00E65202"/>
    <w:rsid w:val="00E7128B"/>
    <w:rsid w:val="00E734D6"/>
    <w:rsid w:val="00E73D4E"/>
    <w:rsid w:val="00E750CA"/>
    <w:rsid w:val="00E81457"/>
    <w:rsid w:val="00E82E26"/>
    <w:rsid w:val="00E83C20"/>
    <w:rsid w:val="00E8685C"/>
    <w:rsid w:val="00E9717C"/>
    <w:rsid w:val="00EA191D"/>
    <w:rsid w:val="00EA1B4D"/>
    <w:rsid w:val="00EA6DF7"/>
    <w:rsid w:val="00EA7222"/>
    <w:rsid w:val="00EB2903"/>
    <w:rsid w:val="00EB3025"/>
    <w:rsid w:val="00EB546C"/>
    <w:rsid w:val="00EB5D86"/>
    <w:rsid w:val="00EC21C9"/>
    <w:rsid w:val="00ED1D85"/>
    <w:rsid w:val="00ED34EA"/>
    <w:rsid w:val="00ED3604"/>
    <w:rsid w:val="00ED42D4"/>
    <w:rsid w:val="00EE318A"/>
    <w:rsid w:val="00EE31D2"/>
    <w:rsid w:val="00EE4F25"/>
    <w:rsid w:val="00EE624F"/>
    <w:rsid w:val="00EF0421"/>
    <w:rsid w:val="00EF4068"/>
    <w:rsid w:val="00EF4B00"/>
    <w:rsid w:val="00EF56F1"/>
    <w:rsid w:val="00EF5979"/>
    <w:rsid w:val="00EF64F9"/>
    <w:rsid w:val="00EF65D5"/>
    <w:rsid w:val="00F01C43"/>
    <w:rsid w:val="00F025AE"/>
    <w:rsid w:val="00F0275B"/>
    <w:rsid w:val="00F05A2C"/>
    <w:rsid w:val="00F06294"/>
    <w:rsid w:val="00F11F4E"/>
    <w:rsid w:val="00F135D9"/>
    <w:rsid w:val="00F142DB"/>
    <w:rsid w:val="00F20162"/>
    <w:rsid w:val="00F25073"/>
    <w:rsid w:val="00F27AE1"/>
    <w:rsid w:val="00F27F09"/>
    <w:rsid w:val="00F305FD"/>
    <w:rsid w:val="00F35655"/>
    <w:rsid w:val="00F40C61"/>
    <w:rsid w:val="00F44C9B"/>
    <w:rsid w:val="00F4576F"/>
    <w:rsid w:val="00F4660E"/>
    <w:rsid w:val="00F466E6"/>
    <w:rsid w:val="00F47D08"/>
    <w:rsid w:val="00F50139"/>
    <w:rsid w:val="00F64880"/>
    <w:rsid w:val="00F71571"/>
    <w:rsid w:val="00F73135"/>
    <w:rsid w:val="00F7736F"/>
    <w:rsid w:val="00F81416"/>
    <w:rsid w:val="00F81C26"/>
    <w:rsid w:val="00F865B9"/>
    <w:rsid w:val="00F8777B"/>
    <w:rsid w:val="00F90DA1"/>
    <w:rsid w:val="00F91C36"/>
    <w:rsid w:val="00F93982"/>
    <w:rsid w:val="00F943D8"/>
    <w:rsid w:val="00F97625"/>
    <w:rsid w:val="00FA0C38"/>
    <w:rsid w:val="00FC1BE7"/>
    <w:rsid w:val="00FC1DE2"/>
    <w:rsid w:val="00FC47F1"/>
    <w:rsid w:val="00FC57ED"/>
    <w:rsid w:val="00FC712F"/>
    <w:rsid w:val="00FD1367"/>
    <w:rsid w:val="00FD426E"/>
    <w:rsid w:val="00FE12DE"/>
    <w:rsid w:val="00FE5BE4"/>
    <w:rsid w:val="00FF251E"/>
    <w:rsid w:val="00FF46B6"/>
    <w:rsid w:val="09BBE937"/>
    <w:rsid w:val="0F46740B"/>
    <w:rsid w:val="133627D8"/>
    <w:rsid w:val="1A25F0BC"/>
    <w:rsid w:val="1C463170"/>
    <w:rsid w:val="3C8A44F4"/>
    <w:rsid w:val="482FAE7D"/>
    <w:rsid w:val="4A3232AC"/>
    <w:rsid w:val="53B7A956"/>
    <w:rsid w:val="5553151A"/>
    <w:rsid w:val="678670CB"/>
    <w:rsid w:val="6962020B"/>
    <w:rsid w:val="745D0B45"/>
    <w:rsid w:val="75C27C25"/>
    <w:rsid w:val="79F923B7"/>
    <w:rsid w:val="7F71B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4908A8"/>
  <w15:chartTrackingRefBased/>
  <w15:docId w15:val="{A217C9F8-0CC0-1846-9868-E2EFCAA45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495B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F3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F343B"/>
  </w:style>
  <w:style w:type="paragraph" w:styleId="Piedepgina">
    <w:name w:val="footer"/>
    <w:basedOn w:val="Normal"/>
    <w:link w:val="PiedepginaCar"/>
    <w:uiPriority w:val="99"/>
    <w:unhideWhenUsed/>
    <w:rsid w:val="003F3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F343B"/>
  </w:style>
  <w:style w:type="character" w:styleId="Textoennegrita">
    <w:name w:val="Strong"/>
    <w:uiPriority w:val="22"/>
    <w:qFormat/>
    <w:rsid w:val="00A20A5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D73C9"/>
    <w:pPr>
      <w:spacing w:after="0" w:line="240" w:lineRule="auto"/>
    </w:pPr>
    <w:rPr>
      <w:rFonts w:ascii="Times New Roman" w:hAnsi="Times New Roman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9D73C9"/>
    <w:rPr>
      <w:rFonts w:ascii="Times New Roman" w:hAnsi="Times New Roman" w:cs="Times New Roman"/>
      <w:sz w:val="18"/>
      <w:szCs w:val="18"/>
    </w:rPr>
  </w:style>
  <w:style w:type="character" w:styleId="Hipervnculo">
    <w:name w:val="Hyperlink"/>
    <w:uiPriority w:val="99"/>
    <w:unhideWhenUsed/>
    <w:rsid w:val="00664B23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664B23"/>
    <w:rPr>
      <w:color w:val="605E5C"/>
      <w:shd w:val="clear" w:color="auto" w:fill="E1DFDD"/>
    </w:rPr>
  </w:style>
  <w:style w:type="character" w:styleId="Hipervnculovisitado">
    <w:name w:val="FollowedHyperlink"/>
    <w:uiPriority w:val="99"/>
    <w:semiHidden/>
    <w:unhideWhenUsed/>
    <w:rsid w:val="004A0665"/>
    <w:rPr>
      <w:color w:val="954F72"/>
      <w:u w:val="single"/>
    </w:rPr>
  </w:style>
  <w:style w:type="paragraph" w:styleId="Prrafodelista">
    <w:name w:val="List Paragraph"/>
    <w:basedOn w:val="Normal"/>
    <w:uiPriority w:val="34"/>
    <w:qFormat/>
    <w:rsid w:val="00D25438"/>
    <w:pPr>
      <w:ind w:left="720"/>
      <w:contextualSpacing/>
    </w:pPr>
  </w:style>
  <w:style w:type="character" w:styleId="Refdecomentario">
    <w:name w:val="annotation reference"/>
    <w:uiPriority w:val="99"/>
    <w:semiHidden/>
    <w:unhideWhenUsed/>
    <w:rsid w:val="00D0474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04743"/>
    <w:rPr>
      <w:sz w:val="20"/>
      <w:szCs w:val="20"/>
      <w:lang w:val="x-none"/>
    </w:rPr>
  </w:style>
  <w:style w:type="character" w:customStyle="1" w:styleId="TextocomentarioCar">
    <w:name w:val="Texto comentario Car"/>
    <w:link w:val="Textocomentario"/>
    <w:uiPriority w:val="99"/>
    <w:rsid w:val="00D04743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04743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04743"/>
    <w:rPr>
      <w:b/>
      <w:bCs/>
      <w:lang w:eastAsia="en-US"/>
    </w:rPr>
  </w:style>
  <w:style w:type="paragraph" w:styleId="Revisin">
    <w:name w:val="Revision"/>
    <w:hidden/>
    <w:uiPriority w:val="99"/>
    <w:semiHidden/>
    <w:rsid w:val="00C07069"/>
    <w:rPr>
      <w:sz w:val="22"/>
      <w:szCs w:val="22"/>
      <w:lang w:eastAsia="en-US"/>
    </w:rPr>
  </w:style>
  <w:style w:type="character" w:customStyle="1" w:styleId="Mencinsinresolver1">
    <w:name w:val="Mención sin resolver1"/>
    <w:uiPriority w:val="99"/>
    <w:semiHidden/>
    <w:unhideWhenUsed/>
    <w:rsid w:val="006963A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F81C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Mencinsinresolver">
    <w:name w:val="Unresolved Mention"/>
    <w:uiPriority w:val="99"/>
    <w:semiHidden/>
    <w:unhideWhenUsed/>
    <w:rsid w:val="00174530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0B488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customStyle="1" w:styleId="eop">
    <w:name w:val="eop"/>
    <w:basedOn w:val="Fuentedeprrafopredeter"/>
    <w:rsid w:val="000B4881"/>
  </w:style>
  <w:style w:type="character" w:customStyle="1" w:styleId="normaltextrun">
    <w:name w:val="normaltextrun"/>
    <w:basedOn w:val="Fuentedeprrafopredeter"/>
    <w:rsid w:val="000B4881"/>
  </w:style>
  <w:style w:type="character" w:customStyle="1" w:styleId="tabchar">
    <w:name w:val="tabchar"/>
    <w:basedOn w:val="Fuentedeprrafopredeter"/>
    <w:rsid w:val="000B48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4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6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5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3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5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9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7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5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76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6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56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535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16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24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57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35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84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6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5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28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0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6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3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71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0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1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7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2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90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3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9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6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82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1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244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2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2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24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9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7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cttexpress.com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tt.pt/grupo-ctt/investidores/informacao-financeira/divulgacao-resultado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eticia.martin@cttexpres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8237a29-d5e3-44df-8262-63500c696aaa">
      <Terms xmlns="http://schemas.microsoft.com/office/infopath/2007/PartnerControls"/>
    </lcf76f155ced4ddcb4097134ff3c332f>
    <TaxCatchAll xmlns="81fbddb7-c58f-4306-8cb1-fe472ef06b6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6A30FB4DC5CB48BF9930BD62A81B1D" ma:contentTypeVersion="18" ma:contentTypeDescription="Crear nuevo documento." ma:contentTypeScope="" ma:versionID="3b565a4e7c26269eb85b39d209cdb6f5">
  <xsd:schema xmlns:xsd="http://www.w3.org/2001/XMLSchema" xmlns:xs="http://www.w3.org/2001/XMLSchema" xmlns:p="http://schemas.microsoft.com/office/2006/metadata/properties" xmlns:ns2="08237a29-d5e3-44df-8262-63500c696aaa" xmlns:ns3="81fbddb7-c58f-4306-8cb1-fe472ef06b6f" targetNamespace="http://schemas.microsoft.com/office/2006/metadata/properties" ma:root="true" ma:fieldsID="b2567da7d787c56b212ea275047adb1c" ns2:_="" ns3:_="">
    <xsd:import namespace="08237a29-d5e3-44df-8262-63500c696aaa"/>
    <xsd:import namespace="81fbddb7-c58f-4306-8cb1-fe472ef06b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37a29-d5e3-44df-8262-63500c696a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7914f148-dbcc-484c-b057-265b8c4538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fbddb7-c58f-4306-8cb1-fe472ef06b6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8458b0-9612-4bc5-98ba-0b70fb3af4d1}" ma:internalName="TaxCatchAll" ma:showField="CatchAllData" ma:web="81fbddb7-c58f-4306-8cb1-fe472ef06b6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F60765-19BF-40B1-B9B2-B57403E1DB7D}">
  <ds:schemaRefs>
    <ds:schemaRef ds:uri="http://schemas.microsoft.com/office/2006/metadata/properties"/>
    <ds:schemaRef ds:uri="http://schemas.microsoft.com/office/infopath/2007/PartnerControls"/>
    <ds:schemaRef ds:uri="08237a29-d5e3-44df-8262-63500c696aaa"/>
    <ds:schemaRef ds:uri="81fbddb7-c58f-4306-8cb1-fe472ef06b6f"/>
  </ds:schemaRefs>
</ds:datastoreItem>
</file>

<file path=customXml/itemProps2.xml><?xml version="1.0" encoding="utf-8"?>
<ds:datastoreItem xmlns:ds="http://schemas.openxmlformats.org/officeDocument/2006/customXml" ds:itemID="{BA9B12A7-27E6-4551-8977-B81070E6E7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AAA2DB-5CC6-4861-AF28-629458E0D1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51E261C-6AF9-493D-8973-F635A71E79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237a29-d5e3-44df-8262-63500c696aaa"/>
    <ds:schemaRef ds:uri="81fbddb7-c58f-4306-8cb1-fe472ef06b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Sabrina Esencial</dc:creator>
  <cp:keywords/>
  <cp:lastModifiedBy>Maria de la Plaza</cp:lastModifiedBy>
  <cp:revision>2</cp:revision>
  <cp:lastPrinted>2021-01-14T11:21:00Z</cp:lastPrinted>
  <dcterms:created xsi:type="dcterms:W3CDTF">2025-05-16T12:31:00Z</dcterms:created>
  <dcterms:modified xsi:type="dcterms:W3CDTF">2025-05-16T12:31:00Z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0x010100636A30FB4DC5CB48BF9930BD62A81B1D</vt:lpwstr>
  </property>
  <property fmtid="{D5CDD505-2E9C-101B-9397-08002B2CF9AE}" pid="3" name="MediaServiceImageTags">
    <vt:lpwstr/>
  </property>
</Properties>
</file>