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828" w14:textId="77777777" w:rsidR="008366C4" w:rsidRDefault="008366C4" w:rsidP="008366C4">
      <w:pPr>
        <w:spacing w:after="0" w:line="240" w:lineRule="auto"/>
        <w:jc w:val="center"/>
        <w:rPr>
          <w:rFonts w:ascii="Roboto" w:eastAsia="Roboto" w:hAnsi="Roboto" w:cs="Roboto"/>
          <w:sz w:val="28"/>
          <w:szCs w:val="28"/>
        </w:rPr>
      </w:pP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Comunicato stampa 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05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02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/202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</w:p>
    <w:p w14:paraId="0FEA80B7" w14:textId="77777777" w:rsidR="008366C4" w:rsidRPr="0059239B" w:rsidRDefault="008366C4" w:rsidP="008366C4">
      <w:pPr>
        <w:shd w:val="clear" w:color="auto" w:fill="FFFFFF" w:themeFill="background1"/>
        <w:spacing w:after="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MutuiOnline.it: i tassi in calo rilanciano il mercato dei mutui</w:t>
      </w:r>
    </w:p>
    <w:p w14:paraId="3258A79A" w14:textId="77777777" w:rsidR="008366C4" w:rsidRPr="005357BE" w:rsidRDefault="008366C4" w:rsidP="008366C4">
      <w:pPr>
        <w:spacing w:after="0" w:line="240" w:lineRule="auto"/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Grazie ai </w:t>
      </w:r>
      <w:r>
        <w:rPr>
          <w:rFonts w:ascii="Roboto" w:hAnsi="Roboto"/>
          <w:b/>
          <w:bCs/>
          <w:color w:val="FAA633"/>
          <w:sz w:val="28"/>
          <w:szCs w:val="28"/>
        </w:rPr>
        <w:t>5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tagli sul costo del denaro operati dalla Bce </w:t>
      </w:r>
      <w:r>
        <w:rPr>
          <w:rFonts w:ascii="Roboto" w:hAnsi="Roboto"/>
          <w:b/>
          <w:bCs/>
          <w:color w:val="FAA633"/>
          <w:sz w:val="28"/>
          <w:szCs w:val="28"/>
        </w:rPr>
        <w:t>a partire da giugno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, le rate dei mutui a tasso variabile sono fino a </w:t>
      </w:r>
      <w:r>
        <w:rPr>
          <w:rFonts w:ascii="Roboto" w:hAnsi="Roboto"/>
          <w:b/>
          <w:bCs/>
          <w:color w:val="FAA633"/>
          <w:sz w:val="28"/>
          <w:szCs w:val="28"/>
        </w:rPr>
        <w:t>99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€ più leggere rispetto a </w:t>
      </w:r>
      <w:r>
        <w:rPr>
          <w:rFonts w:ascii="Roboto" w:hAnsi="Roboto"/>
          <w:b/>
          <w:bCs/>
          <w:color w:val="FAA633"/>
          <w:sz w:val="28"/>
          <w:szCs w:val="28"/>
        </w:rPr>
        <w:t>12 mesi fa</w:t>
      </w:r>
    </w:p>
    <w:p w14:paraId="0E227E7D" w14:textId="77777777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37C020E1">
        <w:rPr>
          <w:rFonts w:ascii="Georgia" w:eastAsia="Georgia" w:hAnsi="Georgia" w:cs="Georgia"/>
          <w:sz w:val="20"/>
          <w:szCs w:val="20"/>
        </w:rPr>
        <w:t xml:space="preserve">Il 2024 è stato un anno incoraggiante per il mercato dei mutui in Italia, che si conferma in chiara ripresa dopo un 2023 decisamente difficile </w:t>
      </w:r>
      <w:r>
        <w:rPr>
          <w:rFonts w:ascii="Georgia" w:eastAsia="Georgia" w:hAnsi="Georgia" w:cs="Georgia"/>
          <w:sz w:val="20"/>
          <w:szCs w:val="20"/>
        </w:rPr>
        <w:t>e lascia ben sperare per il nuovo anno</w:t>
      </w:r>
      <w:r w:rsidRPr="37C020E1">
        <w:rPr>
          <w:rFonts w:ascii="Georgia" w:eastAsia="Georgia" w:hAnsi="Georgia" w:cs="Georgia"/>
          <w:sz w:val="20"/>
          <w:szCs w:val="20"/>
        </w:rPr>
        <w:t xml:space="preserve">. I </w:t>
      </w:r>
      <w:r>
        <w:rPr>
          <w:rFonts w:ascii="Georgia" w:eastAsia="Georgia" w:hAnsi="Georgia" w:cs="Georgia"/>
          <w:sz w:val="20"/>
          <w:szCs w:val="20"/>
        </w:rPr>
        <w:t>cinque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sul costo del denaro operati dalla Banca Centrale Europea nel corso </w:t>
      </w:r>
      <w:r>
        <w:rPr>
          <w:rFonts w:ascii="Georgia" w:eastAsia="Georgia" w:hAnsi="Georgia" w:cs="Georgia"/>
          <w:sz w:val="20"/>
          <w:szCs w:val="20"/>
        </w:rPr>
        <w:t>delle ultime 6 riunioni di politica monetaria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avuto effetti positivi sul mercato, con il TAN medio dei </w:t>
      </w:r>
      <w:r w:rsidRPr="008B05BA">
        <w:rPr>
          <w:rFonts w:ascii="Georgia" w:eastAsia="Georgia" w:hAnsi="Georgia" w:cs="Georgia"/>
          <w:sz w:val="20"/>
          <w:szCs w:val="20"/>
        </w:rPr>
        <w:t>mutui a tasso variabile</w:t>
      </w:r>
      <w:r w:rsidRPr="37C020E1">
        <w:rPr>
          <w:rFonts w:ascii="Georgia" w:eastAsia="Georgia" w:hAnsi="Georgia" w:cs="Georgia"/>
          <w:sz w:val="20"/>
          <w:szCs w:val="20"/>
        </w:rPr>
        <w:t xml:space="preserve"> a 20 e 30 anni che è calato di oltre un punto percentuale rispetto a gennaio</w:t>
      </w:r>
      <w:r>
        <w:rPr>
          <w:rFonts w:ascii="Georgia" w:eastAsia="Georgia" w:hAnsi="Georgia" w:cs="Georgia"/>
          <w:sz w:val="20"/>
          <w:szCs w:val="20"/>
        </w:rPr>
        <w:t xml:space="preserve"> 2024</w:t>
      </w:r>
      <w:r w:rsidRPr="37C020E1">
        <w:rPr>
          <w:rFonts w:ascii="Georgia" w:eastAsia="Georgia" w:hAnsi="Georgia" w:cs="Georgia"/>
          <w:sz w:val="20"/>
          <w:szCs w:val="20"/>
        </w:rPr>
        <w:t>, passando dal 4,94% al 3,</w:t>
      </w:r>
      <w:r>
        <w:rPr>
          <w:rFonts w:ascii="Georgia" w:eastAsia="Georgia" w:hAnsi="Georgia" w:cs="Georgia"/>
          <w:sz w:val="20"/>
          <w:szCs w:val="20"/>
        </w:rPr>
        <w:t>71</w:t>
      </w:r>
      <w:r w:rsidRPr="37C020E1">
        <w:rPr>
          <w:rFonts w:ascii="Georgia" w:eastAsia="Georgia" w:hAnsi="Georgia" w:cs="Georgia"/>
          <w:sz w:val="20"/>
          <w:szCs w:val="20"/>
        </w:rPr>
        <w:t xml:space="preserve">% </w:t>
      </w:r>
      <w:r>
        <w:rPr>
          <w:rFonts w:ascii="Georgia" w:eastAsia="Georgia" w:hAnsi="Georgia" w:cs="Georgia"/>
          <w:sz w:val="20"/>
          <w:szCs w:val="20"/>
        </w:rPr>
        <w:t>attuale</w:t>
      </w:r>
      <w:r w:rsidRPr="37C020E1">
        <w:rPr>
          <w:rFonts w:ascii="Georgia" w:eastAsia="Georgia" w:hAnsi="Georgia" w:cs="Georgia"/>
          <w:sz w:val="20"/>
          <w:szCs w:val="20"/>
        </w:rPr>
        <w:t xml:space="preserve">. Secondo le stime di </w:t>
      </w:r>
      <w:hyperlink r:id="rId6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MutuiOnline.it</w:t>
        </w:r>
      </w:hyperlink>
      <w:r w:rsidRPr="37C020E1">
        <w:rPr>
          <w:rFonts w:ascii="Georgia" w:eastAsia="Georgia" w:hAnsi="Georgia" w:cs="Georgia"/>
          <w:sz w:val="20"/>
          <w:szCs w:val="20"/>
        </w:rPr>
        <w:t xml:space="preserve">, i consumatori che </w:t>
      </w:r>
      <w:r>
        <w:rPr>
          <w:rFonts w:ascii="Georgia" w:eastAsia="Georgia" w:hAnsi="Georgia" w:cs="Georgia"/>
          <w:sz w:val="20"/>
          <w:szCs w:val="20"/>
        </w:rPr>
        <w:t>12 mesi fa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scelto questo tipo di finanziamento hanno visto la rata mensile alleggerirsi di </w:t>
      </w:r>
      <w:r>
        <w:rPr>
          <w:rFonts w:ascii="Georgia" w:eastAsia="Georgia" w:hAnsi="Georgia" w:cs="Georgia"/>
          <w:sz w:val="20"/>
          <w:szCs w:val="20"/>
        </w:rPr>
        <w:t>99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passando dai 985 € di </w:t>
      </w:r>
      <w:r>
        <w:rPr>
          <w:rFonts w:ascii="Georgia" w:eastAsia="Georgia" w:hAnsi="Georgia" w:cs="Georgia"/>
          <w:sz w:val="20"/>
          <w:szCs w:val="20"/>
        </w:rPr>
        <w:t>inizio 2024</w:t>
      </w:r>
      <w:r w:rsidRPr="37C020E1">
        <w:rPr>
          <w:rFonts w:ascii="Georgia" w:eastAsia="Georgia" w:hAnsi="Georgia" w:cs="Georgia"/>
          <w:sz w:val="20"/>
          <w:szCs w:val="20"/>
        </w:rPr>
        <w:t xml:space="preserve"> a</w:t>
      </w:r>
      <w:r>
        <w:rPr>
          <w:rFonts w:ascii="Georgia" w:eastAsia="Georgia" w:hAnsi="Georgia" w:cs="Georgia"/>
          <w:sz w:val="20"/>
          <w:szCs w:val="20"/>
        </w:rPr>
        <w:t>gli</w:t>
      </w:r>
      <w:r w:rsidRPr="37C020E1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886</w:t>
      </w:r>
      <w:r w:rsidRPr="37C020E1">
        <w:rPr>
          <w:rFonts w:ascii="Georgia" w:eastAsia="Georgia" w:hAnsi="Georgia" w:cs="Georgia"/>
          <w:sz w:val="20"/>
          <w:szCs w:val="20"/>
        </w:rPr>
        <w:t xml:space="preserve"> € attuali, per un risparmio di </w:t>
      </w:r>
      <w:r>
        <w:rPr>
          <w:rFonts w:ascii="Georgia" w:eastAsia="Georgia" w:hAnsi="Georgia" w:cs="Georgia"/>
          <w:sz w:val="20"/>
          <w:szCs w:val="20"/>
        </w:rPr>
        <w:t>23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701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di un mutuo a 20 anni da 150.000 €. Inoltre</w:t>
      </w:r>
      <w:r>
        <w:rPr>
          <w:rFonts w:ascii="Georgia" w:eastAsia="Georgia" w:hAnsi="Georgia" w:cs="Georgia"/>
          <w:sz w:val="20"/>
          <w:szCs w:val="20"/>
        </w:rPr>
        <w:t xml:space="preserve">, dopo la riduzione dei tassi nella riunione di gennaio </w:t>
      </w:r>
      <w:r w:rsidRPr="37C020E1">
        <w:rPr>
          <w:rFonts w:ascii="Georgia" w:eastAsia="Georgia" w:hAnsi="Georgia" w:cs="Georgia"/>
          <w:sz w:val="20"/>
          <w:szCs w:val="20"/>
        </w:rPr>
        <w:t xml:space="preserve">la strategia di allentamento in materia di politica monetaria da parte dell’Eurotower è destinata a proseguire nel corso di quest’anno: ipotizzando altri 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da 25 punti base ciascuno entro giugno, il TAN medio dei mutui a tasso variabile potrebbe scendere al 3,</w:t>
      </w:r>
      <w:r>
        <w:rPr>
          <w:rFonts w:ascii="Georgia" w:eastAsia="Georgia" w:hAnsi="Georgia" w:cs="Georgia"/>
          <w:sz w:val="20"/>
          <w:szCs w:val="20"/>
        </w:rPr>
        <w:t>21</w:t>
      </w:r>
      <w:r w:rsidRPr="37C020E1">
        <w:rPr>
          <w:rFonts w:ascii="Georgia" w:eastAsia="Georgia" w:hAnsi="Georgia" w:cs="Georgia"/>
          <w:sz w:val="20"/>
          <w:szCs w:val="20"/>
        </w:rPr>
        <w:t>%, che comporterebbe una rata mensile del mutuo considerato di 8</w:t>
      </w:r>
      <w:r>
        <w:rPr>
          <w:rFonts w:ascii="Georgia" w:eastAsia="Georgia" w:hAnsi="Georgia" w:cs="Georgia"/>
          <w:sz w:val="20"/>
          <w:szCs w:val="20"/>
        </w:rPr>
        <w:t>48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per un risparmio di </w:t>
      </w:r>
      <w:r>
        <w:rPr>
          <w:rFonts w:ascii="Georgia" w:eastAsia="Georgia" w:hAnsi="Georgia" w:cs="Georgia"/>
          <w:sz w:val="20"/>
          <w:szCs w:val="20"/>
        </w:rPr>
        <w:t>9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>0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del mutuo rispetto a oggi. </w:t>
      </w:r>
    </w:p>
    <w:p w14:paraId="5C5B3615" w14:textId="77777777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0" w:name="_Hlk186723060"/>
      <w:r w:rsidRPr="5708EADA">
        <w:rPr>
          <w:rFonts w:ascii="Georgia" w:eastAsia="Georgia" w:hAnsi="Georgia" w:cs="Georgia"/>
          <w:sz w:val="20"/>
          <w:szCs w:val="20"/>
        </w:rPr>
        <w:t xml:space="preserve">Nuovi tagli sul costo del denaro potrebbero dunque portare a un riequilibrio entro fine anno tra il tasso di interesse del variabile e quello del fisso, che al momento risulta nettamente più conveniente alla luce di un TAN medio che a </w:t>
      </w:r>
      <w:r>
        <w:rPr>
          <w:rFonts w:ascii="Georgia" w:eastAsia="Georgia" w:hAnsi="Georgia" w:cs="Georgia"/>
          <w:sz w:val="20"/>
          <w:szCs w:val="20"/>
        </w:rPr>
        <w:t>gennaio</w:t>
      </w:r>
      <w:r w:rsidRPr="5708EADA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2025 </w:t>
      </w:r>
      <w:r w:rsidRPr="5708EADA">
        <w:rPr>
          <w:rFonts w:ascii="Georgia" w:eastAsia="Georgia" w:hAnsi="Georgia" w:cs="Georgia"/>
          <w:sz w:val="20"/>
          <w:szCs w:val="20"/>
        </w:rPr>
        <w:t>si attesta al 2,</w:t>
      </w:r>
      <w:r>
        <w:rPr>
          <w:rFonts w:ascii="Georgia" w:eastAsia="Georgia" w:hAnsi="Georgia" w:cs="Georgia"/>
          <w:sz w:val="20"/>
          <w:szCs w:val="20"/>
        </w:rPr>
        <w:t>83</w:t>
      </w:r>
      <w:r w:rsidRPr="5708EADA">
        <w:rPr>
          <w:rFonts w:ascii="Georgia" w:eastAsia="Georgia" w:hAnsi="Georgia" w:cs="Georgia"/>
          <w:sz w:val="20"/>
          <w:szCs w:val="20"/>
        </w:rPr>
        <w:t>%.</w:t>
      </w:r>
      <w:bookmarkEnd w:id="0"/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3236B812" w14:textId="77777777" w:rsidR="008366C4" w:rsidRDefault="008366C4" w:rsidP="008366C4">
      <w:pPr>
        <w:spacing w:after="0" w:line="240" w:lineRule="auto"/>
        <w:jc w:val="both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hyperlink r:id="rId7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Nicoletta Papucci</w:t>
        </w:r>
      </w:hyperlink>
      <w:r>
        <w:rPr>
          <w:rFonts w:ascii="Georgia" w:eastAsia="Georgia" w:hAnsi="Georgia" w:cs="Georgia"/>
          <w:sz w:val="20"/>
          <w:szCs w:val="20"/>
        </w:rPr>
        <w:t xml:space="preserve">, portavoce di MutuiOnline.it, commenta: 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>“</w:t>
      </w:r>
      <w:r>
        <w:rPr>
          <w:rFonts w:ascii="Georgia" w:eastAsia="Georgia" w:hAnsi="Georgia" w:cs="Georgia"/>
          <w:i/>
          <w:iCs/>
          <w:sz w:val="20"/>
          <w:szCs w:val="20"/>
        </w:rPr>
        <w:t>Il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cambio di rotta in tema di politica monetaria della Banca Centrale Europea ha permesso al mercato dei mutui di risollevarsi. Grazie ai </w:t>
      </w:r>
      <w:r>
        <w:rPr>
          <w:rFonts w:ascii="Georgia" w:eastAsia="Georgia" w:hAnsi="Georgia" w:cs="Georgia"/>
          <w:i/>
          <w:iCs/>
          <w:sz w:val="20"/>
          <w:szCs w:val="20"/>
        </w:rPr>
        <w:t>cinque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tagli sul costo del denaro operati a partire da giugno, i tassi in discesa stanno rendendo l’accesso al credito molto più vantaggioso rispetto a un anno fa, e questo lascia ben sperare per i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prossimi mesi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. Le prospettive inflattive nell’Eurozona sono infatti buone e 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secondo le curve </w:t>
      </w:r>
      <w:proofErr w:type="spellStart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forward</w:t>
      </w:r>
      <w:proofErr w:type="spellEnd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l’Euribor a 1 e 3 mesi dovrebbe scendere sotto il 2% nella seconda metà dell’anno (un calo significativo rispetto a inizio 2024, quando il valore dell’Euribor a 1 e 3 mesi era attorno al 3,</w:t>
      </w:r>
      <w:r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87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%). In questa prospettiva, il riequilibrio tra mutui a tasso fisso e variabile atteso a fine 2025 permetterà ai consumatori di avere a disposizione una gamma sempre più ampia di opzioni tra cui scegliere. Gli strumenti di comparazione delle offerte come MutuiOnline.it saranno ancora più fondamentali per individuare le soluzioni più convenienti e risparmiare migliaia di euro di interessi sul rimborso del mutuo.”</w:t>
      </w:r>
    </w:p>
    <w:p w14:paraId="12D9163A" w14:textId="77777777" w:rsidR="008366C4" w:rsidRPr="000D66DD" w:rsidRDefault="008366C4" w:rsidP="008366C4">
      <w:pPr>
        <w:spacing w:after="0" w:line="240" w:lineRule="auto"/>
        <w:jc w:val="both"/>
        <w:rPr>
          <w:rStyle w:val="normaltextrun"/>
          <w:rFonts w:ascii="Georgia" w:eastAsia="Georgia" w:hAnsi="Georgia" w:cs="Georgia"/>
          <w:sz w:val="20"/>
          <w:szCs w:val="20"/>
        </w:rPr>
      </w:pPr>
    </w:p>
    <w:p w14:paraId="7474B200" w14:textId="6F4BE9A8" w:rsidR="008366C4" w:rsidRDefault="008366C4" w:rsidP="008366C4">
      <w:pPr>
        <w:spacing w:after="0" w:line="240" w:lineRule="auto"/>
        <w:jc w:val="center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 w:rsidRPr="5708EADA">
        <w:rPr>
          <w:rFonts w:ascii="Roboto" w:hAnsi="Roboto"/>
          <w:b/>
          <w:bCs/>
          <w:color w:val="FAA633"/>
          <w:sz w:val="28"/>
          <w:szCs w:val="28"/>
        </w:rPr>
        <w:t>I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n </w:t>
      </w:r>
      <w:r>
        <w:rPr>
          <w:rFonts w:ascii="Roboto" w:hAnsi="Roboto"/>
          <w:b/>
          <w:bCs/>
          <w:color w:val="FAA633"/>
          <w:sz w:val="28"/>
          <w:szCs w:val="28"/>
        </w:rPr>
        <w:t>Emilia-Romagna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 il </w:t>
      </w:r>
      <w:r w:rsidRPr="5708EADA">
        <w:rPr>
          <w:rFonts w:ascii="Roboto" w:hAnsi="Roboto"/>
          <w:b/>
          <w:bCs/>
          <w:color w:val="FAA633"/>
          <w:sz w:val="28"/>
          <w:szCs w:val="28"/>
        </w:rPr>
        <w:t>tasso fisso domina il mercato</w:t>
      </w:r>
      <w:r w:rsidR="0055793B">
        <w:rPr>
          <w:rFonts w:ascii="Roboto" w:hAnsi="Roboto"/>
          <w:b/>
          <w:bCs/>
          <w:color w:val="FAA633"/>
          <w:sz w:val="28"/>
          <w:szCs w:val="28"/>
        </w:rPr>
        <w:t xml:space="preserve">. Durata dei mutui ai massimi storici, </w:t>
      </w:r>
      <w:r>
        <w:rPr>
          <w:rFonts w:ascii="Roboto" w:hAnsi="Roboto"/>
          <w:b/>
          <w:bCs/>
          <w:color w:val="FAA633"/>
          <w:sz w:val="28"/>
          <w:szCs w:val="28"/>
        </w:rPr>
        <w:t>età media dei richiedenti</w:t>
      </w:r>
      <w:r w:rsidR="004A0982">
        <w:rPr>
          <w:rFonts w:ascii="Roboto" w:hAnsi="Roboto"/>
          <w:b/>
          <w:bCs/>
          <w:color w:val="FAA633"/>
          <w:sz w:val="28"/>
          <w:szCs w:val="28"/>
        </w:rPr>
        <w:t xml:space="preserve"> un anno più bassa rispetto al resto d’Italia</w:t>
      </w:r>
    </w:p>
    <w:p w14:paraId="3BDD9B24" w14:textId="2C2B8D31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In </w:t>
      </w:r>
      <w:r w:rsidR="004A0982">
        <w:rPr>
          <w:rFonts w:ascii="Georgia" w:eastAsia="Georgia" w:hAnsi="Georgia" w:cs="Georgia"/>
          <w:sz w:val="20"/>
          <w:szCs w:val="20"/>
        </w:rPr>
        <w:t>Emilia-Romagna</w:t>
      </w:r>
      <w:r>
        <w:rPr>
          <w:rFonts w:ascii="Georgia" w:eastAsia="Georgia" w:hAnsi="Georgia" w:cs="Georgia"/>
          <w:sz w:val="20"/>
          <w:szCs w:val="20"/>
        </w:rPr>
        <w:t xml:space="preserve"> la quasi totalità dei clienti di MutuiOnline.it (99,1%) ha optato per il tasso fisso nel 2024, quota</w:t>
      </w:r>
      <w:r w:rsidRPr="00DE1E80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che sale ancora se si considera il mese di gennaio (99,</w:t>
      </w:r>
      <w:r w:rsidR="004A0982">
        <w:rPr>
          <w:rFonts w:ascii="Georgia" w:eastAsia="Georgia" w:hAnsi="Georgia" w:cs="Georgia"/>
          <w:sz w:val="20"/>
          <w:szCs w:val="20"/>
        </w:rPr>
        <w:t>4</w:t>
      </w:r>
      <w:r>
        <w:rPr>
          <w:rFonts w:ascii="Georgia" w:eastAsia="Georgia" w:hAnsi="Georgia" w:cs="Georgia"/>
          <w:sz w:val="20"/>
          <w:szCs w:val="20"/>
        </w:rPr>
        <w:t>%), e si attesta in netta crescita rispetto al recente passato. Infatti, nel 2023 il fisso era stato scelto nel 91,</w:t>
      </w:r>
      <w:r w:rsidR="004A0982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% dei casi, dato che si abbassa al 66,</w:t>
      </w:r>
      <w:r w:rsidR="004A0982">
        <w:rPr>
          <w:rFonts w:ascii="Georgia" w:eastAsia="Georgia" w:hAnsi="Georgia" w:cs="Georgia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% nel 2022, quando il tasso variabile era più conveniente del fisso con un TAN medio che si attestava sotto l’1%.</w:t>
      </w:r>
    </w:p>
    <w:p w14:paraId="3F9598B5" w14:textId="6C0734E1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Le richieste di </w:t>
      </w:r>
      <w:hyperlink r:id="rId8" w:history="1">
        <w:r w:rsidRPr="00876268">
          <w:rPr>
            <w:rStyle w:val="Collegamentoipertestuale"/>
            <w:rFonts w:ascii="Georgia" w:eastAsia="Georgia" w:hAnsi="Georgia" w:cs="Georgia"/>
            <w:sz w:val="20"/>
            <w:szCs w:val="20"/>
          </w:rPr>
          <w:t>surroga del mutuo</w:t>
        </w:r>
      </w:hyperlink>
      <w:r>
        <w:rPr>
          <w:rFonts w:ascii="Georgia" w:eastAsia="Georgia" w:hAnsi="Georgia" w:cs="Georgia"/>
          <w:sz w:val="20"/>
          <w:szCs w:val="20"/>
        </w:rPr>
        <w:t>, ovvero di trasferimento del finanziamento da una banca a un’altra per beneficiare</w:t>
      </w:r>
      <w:r w:rsidRPr="0099084A">
        <w:rPr>
          <w:rFonts w:ascii="Georgia" w:eastAsia="Georgia" w:hAnsi="Georgia" w:cs="Georgia"/>
          <w:sz w:val="20"/>
          <w:szCs w:val="20"/>
        </w:rPr>
        <w:t xml:space="preserve"> d</w:t>
      </w:r>
      <w:r>
        <w:rPr>
          <w:rFonts w:ascii="Georgia" w:eastAsia="Georgia" w:hAnsi="Georgia" w:cs="Georgia"/>
          <w:sz w:val="20"/>
          <w:szCs w:val="20"/>
        </w:rPr>
        <w:t>elle</w:t>
      </w:r>
      <w:r w:rsidRPr="0099084A">
        <w:rPr>
          <w:rFonts w:ascii="Georgia" w:eastAsia="Georgia" w:hAnsi="Georgia" w:cs="Georgia"/>
          <w:sz w:val="20"/>
          <w:szCs w:val="20"/>
        </w:rPr>
        <w:t xml:space="preserve"> condizioni più vantaggiose offerte dal nuovo</w:t>
      </w:r>
      <w:r>
        <w:rPr>
          <w:rFonts w:ascii="Georgia" w:eastAsia="Georgia" w:hAnsi="Georgia" w:cs="Georgia"/>
          <w:sz w:val="20"/>
          <w:szCs w:val="20"/>
        </w:rPr>
        <w:t xml:space="preserve"> istituto, si sono attestate al 3</w:t>
      </w:r>
      <w:r w:rsidR="0055793B">
        <w:rPr>
          <w:rFonts w:ascii="Georgia" w:eastAsia="Georgia" w:hAnsi="Georgia" w:cs="Georgia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,</w:t>
      </w:r>
      <w:r w:rsidR="0055793B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 xml:space="preserve">% del totale nel 2024, mentre nel primo mese del nuovo anno sono </w:t>
      </w:r>
      <w:r w:rsidR="0055793B">
        <w:rPr>
          <w:rFonts w:ascii="Georgia" w:eastAsia="Georgia" w:hAnsi="Georgia" w:cs="Georgia"/>
          <w:sz w:val="20"/>
          <w:szCs w:val="20"/>
        </w:rPr>
        <w:t>salite</w:t>
      </w:r>
      <w:r>
        <w:rPr>
          <w:rFonts w:ascii="Georgia" w:eastAsia="Georgia" w:hAnsi="Georgia" w:cs="Georgia"/>
          <w:sz w:val="20"/>
          <w:szCs w:val="20"/>
        </w:rPr>
        <w:t xml:space="preserve"> fino al 3</w:t>
      </w:r>
      <w:r w:rsidR="0055793B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,</w:t>
      </w:r>
      <w:r w:rsidR="0055793B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>% del totale. La finalità di finanziamento più richiesta rimane l’acquisto della prima casa, al 5</w:t>
      </w:r>
      <w:r w:rsidR="0055793B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>,</w:t>
      </w:r>
      <w:r w:rsidR="0055793B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 xml:space="preserve">% del mix a gennaio 2025, </w:t>
      </w:r>
      <w:r w:rsidR="0055793B">
        <w:rPr>
          <w:rFonts w:ascii="Georgia" w:eastAsia="Georgia" w:hAnsi="Georgia" w:cs="Georgia"/>
          <w:sz w:val="20"/>
          <w:szCs w:val="20"/>
        </w:rPr>
        <w:t>dato identico a quello</w:t>
      </w:r>
      <w:r>
        <w:rPr>
          <w:rFonts w:ascii="Georgia" w:eastAsia="Georgia" w:hAnsi="Georgia" w:cs="Georgia"/>
          <w:sz w:val="20"/>
          <w:szCs w:val="20"/>
        </w:rPr>
        <w:t xml:space="preserve"> registrato nell’intero 2024. </w:t>
      </w:r>
    </w:p>
    <w:p w14:paraId="69102F6B" w14:textId="77777777" w:rsidR="008366C4" w:rsidRP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12"/>
          <w:szCs w:val="12"/>
        </w:rPr>
      </w:pPr>
    </w:p>
    <w:p w14:paraId="2CF809A4" w14:textId="77777777" w:rsidR="008366C4" w:rsidRDefault="008366C4" w:rsidP="008366C4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w:drawing>
          <wp:inline distT="0" distB="0" distL="0" distR="0" wp14:anchorId="0E642CE2" wp14:editId="09C7529C">
            <wp:extent cx="4400657" cy="2475370"/>
            <wp:effectExtent l="0" t="0" r="0" b="1270"/>
            <wp:docPr id="1990757858" name="Picture 199075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57858" name="Picture 1990757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657" cy="24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B663" w14:textId="77777777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2ADFDDB1" w14:textId="64C88376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La durata media dei finanziamenti nella regione si conferma in crescita, passando dai 2</w:t>
      </w:r>
      <w:r w:rsidR="0055793B">
        <w:rPr>
          <w:rFonts w:ascii="Georgia" w:eastAsia="Georgia" w:hAnsi="Georgia" w:cs="Georgia"/>
          <w:sz w:val="20"/>
          <w:szCs w:val="20"/>
        </w:rPr>
        <w:t>4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 w:rsidR="0055793B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 xml:space="preserve"> mesi del 2022</w:t>
      </w:r>
      <w:r w:rsidR="0055793B">
        <w:rPr>
          <w:rFonts w:ascii="Georgia" w:eastAsia="Georgia" w:hAnsi="Georgia" w:cs="Georgia"/>
          <w:sz w:val="20"/>
          <w:szCs w:val="20"/>
        </w:rPr>
        <w:t xml:space="preserve"> ai 24 anni e 4 mesi</w:t>
      </w:r>
      <w:r>
        <w:rPr>
          <w:rFonts w:ascii="Georgia" w:eastAsia="Georgia" w:hAnsi="Georgia" w:cs="Georgia"/>
          <w:sz w:val="20"/>
          <w:szCs w:val="20"/>
        </w:rPr>
        <w:t xml:space="preserve"> del 2023 fino al 24</w:t>
      </w:r>
      <w:r w:rsidR="0055793B">
        <w:rPr>
          <w:rFonts w:ascii="Georgia" w:eastAsia="Georgia" w:hAnsi="Georgia" w:cs="Georgia"/>
          <w:sz w:val="20"/>
          <w:szCs w:val="20"/>
        </w:rPr>
        <w:t xml:space="preserve"> e 9 mesi</w:t>
      </w:r>
      <w:r>
        <w:rPr>
          <w:rFonts w:ascii="Georgia" w:eastAsia="Georgia" w:hAnsi="Georgia" w:cs="Georgia"/>
          <w:sz w:val="20"/>
          <w:szCs w:val="20"/>
        </w:rPr>
        <w:t xml:space="preserve"> anni del 2024 (valore più alto degli ultimi 10 anni), con </w:t>
      </w:r>
      <w:proofErr w:type="gramStart"/>
      <w:r>
        <w:rPr>
          <w:rFonts w:ascii="Georgia" w:eastAsia="Georgia" w:hAnsi="Georgia" w:cs="Georgia"/>
          <w:sz w:val="20"/>
          <w:szCs w:val="20"/>
        </w:rPr>
        <w:t>il trend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di crescita che prosegue anche a gennaio, con il dato che si attesta a 2</w:t>
      </w:r>
      <w:r w:rsidR="0055793B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 w:rsidR="0055793B">
        <w:rPr>
          <w:rFonts w:ascii="Georgia" w:eastAsia="Georgia" w:hAnsi="Georgia" w:cs="Georgia"/>
          <w:sz w:val="20"/>
          <w:szCs w:val="20"/>
        </w:rPr>
        <w:t>4</w:t>
      </w:r>
      <w:r>
        <w:rPr>
          <w:rFonts w:ascii="Georgia" w:eastAsia="Georgia" w:hAnsi="Georgia" w:cs="Georgia"/>
          <w:sz w:val="20"/>
          <w:szCs w:val="20"/>
        </w:rPr>
        <w:t xml:space="preserve"> mesi.</w:t>
      </w:r>
    </w:p>
    <w:p w14:paraId="69488E17" w14:textId="0B7FD527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Per quanto riguarda l’importo medio richiesto, nel 2024 in </w:t>
      </w:r>
      <w:r w:rsidR="0055793B">
        <w:rPr>
          <w:rFonts w:ascii="Georgia" w:eastAsia="Georgia" w:hAnsi="Georgia" w:cs="Georgia"/>
          <w:sz w:val="20"/>
          <w:szCs w:val="20"/>
        </w:rPr>
        <w:t>Emilia-Romagna</w:t>
      </w:r>
      <w:r>
        <w:rPr>
          <w:rFonts w:ascii="Georgia" w:eastAsia="Georgia" w:hAnsi="Georgia" w:cs="Georgia"/>
          <w:sz w:val="20"/>
          <w:szCs w:val="20"/>
        </w:rPr>
        <w:t xml:space="preserve"> si registra una crescita del +</w:t>
      </w:r>
      <w:r w:rsidR="00423256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>,</w:t>
      </w:r>
      <w:r w:rsidR="00423256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 xml:space="preserve">% rispetto all’anno precedente, </w:t>
      </w:r>
      <w:r w:rsidR="00423256">
        <w:rPr>
          <w:rFonts w:ascii="Georgia" w:eastAsia="Georgia" w:hAnsi="Georgia" w:cs="Georgia"/>
          <w:sz w:val="20"/>
          <w:szCs w:val="20"/>
        </w:rPr>
        <w:t>con</w:t>
      </w:r>
      <w:r>
        <w:rPr>
          <w:rFonts w:ascii="Georgia" w:eastAsia="Georgia" w:hAnsi="Georgia" w:cs="Georgia"/>
          <w:sz w:val="20"/>
          <w:szCs w:val="20"/>
        </w:rPr>
        <w:t xml:space="preserve"> il dato</w:t>
      </w:r>
      <w:r w:rsidR="00423256">
        <w:rPr>
          <w:rFonts w:ascii="Georgia" w:eastAsia="Georgia" w:hAnsi="Georgia" w:cs="Georgia"/>
          <w:sz w:val="20"/>
          <w:szCs w:val="20"/>
        </w:rPr>
        <w:t xml:space="preserve"> che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423256">
        <w:rPr>
          <w:rFonts w:ascii="Georgia" w:eastAsia="Georgia" w:hAnsi="Georgia" w:cs="Georgia"/>
          <w:sz w:val="20"/>
          <w:szCs w:val="20"/>
        </w:rPr>
        <w:t>risulta leggermente sopra la</w:t>
      </w:r>
      <w:r>
        <w:rPr>
          <w:rFonts w:ascii="Georgia" w:eastAsia="Georgia" w:hAnsi="Georgia" w:cs="Georgia"/>
          <w:sz w:val="20"/>
          <w:szCs w:val="20"/>
        </w:rPr>
        <w:t xml:space="preserve"> media nazionale (14</w:t>
      </w:r>
      <w:r w:rsidR="00423256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>.</w:t>
      </w:r>
      <w:r w:rsidR="00423256">
        <w:rPr>
          <w:rFonts w:ascii="Georgia" w:eastAsia="Georgia" w:hAnsi="Georgia" w:cs="Georgia"/>
          <w:sz w:val="20"/>
          <w:szCs w:val="20"/>
        </w:rPr>
        <w:t>976</w:t>
      </w:r>
      <w:r>
        <w:rPr>
          <w:rFonts w:ascii="Georgia" w:eastAsia="Georgia" w:hAnsi="Georgia" w:cs="Georgia"/>
          <w:sz w:val="20"/>
          <w:szCs w:val="20"/>
        </w:rPr>
        <w:t xml:space="preserve"> € nella regione contro una media italiana di 140.463 €). </w:t>
      </w:r>
      <w:r w:rsidR="00423256">
        <w:rPr>
          <w:rFonts w:ascii="Georgia" w:eastAsia="Georgia" w:hAnsi="Georgia" w:cs="Georgia"/>
          <w:sz w:val="20"/>
          <w:szCs w:val="20"/>
        </w:rPr>
        <w:t>Il</w:t>
      </w:r>
      <w:r>
        <w:rPr>
          <w:rFonts w:ascii="Georgia" w:eastAsia="Georgia" w:hAnsi="Georgia" w:cs="Georgia"/>
          <w:sz w:val="20"/>
          <w:szCs w:val="20"/>
        </w:rPr>
        <w:t xml:space="preserve"> valore medio degli immobili si attesta </w:t>
      </w:r>
      <w:r w:rsidR="00423256">
        <w:rPr>
          <w:rFonts w:ascii="Georgia" w:eastAsia="Georgia" w:hAnsi="Georgia" w:cs="Georgia"/>
          <w:sz w:val="20"/>
          <w:szCs w:val="20"/>
        </w:rPr>
        <w:t xml:space="preserve">invece </w:t>
      </w:r>
      <w:r>
        <w:rPr>
          <w:rFonts w:ascii="Georgia" w:eastAsia="Georgia" w:hAnsi="Georgia" w:cs="Georgia"/>
          <w:sz w:val="20"/>
          <w:szCs w:val="20"/>
        </w:rPr>
        <w:t xml:space="preserve">più basso rispetto al resto della Penisola, con </w:t>
      </w:r>
      <w:r w:rsidR="00423256">
        <w:rPr>
          <w:rFonts w:ascii="Georgia" w:eastAsia="Georgia" w:hAnsi="Georgia" w:cs="Georgia"/>
          <w:sz w:val="20"/>
          <w:szCs w:val="20"/>
        </w:rPr>
        <w:t>220.187 €</w:t>
      </w:r>
      <w:r>
        <w:rPr>
          <w:rFonts w:ascii="Georgia" w:eastAsia="Georgia" w:hAnsi="Georgia" w:cs="Georgia"/>
          <w:sz w:val="20"/>
          <w:szCs w:val="20"/>
        </w:rPr>
        <w:t xml:space="preserve"> nel 2024 (+</w:t>
      </w:r>
      <w:r w:rsidR="00423256">
        <w:rPr>
          <w:rFonts w:ascii="Georgia" w:eastAsia="Georgia" w:hAnsi="Georgia" w:cs="Georgia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,</w:t>
      </w:r>
      <w:r w:rsidR="00423256">
        <w:rPr>
          <w:rFonts w:ascii="Georgia" w:eastAsia="Georgia" w:hAnsi="Georgia" w:cs="Georgia"/>
          <w:sz w:val="20"/>
          <w:szCs w:val="20"/>
        </w:rPr>
        <w:t>9</w:t>
      </w:r>
      <w:r>
        <w:rPr>
          <w:rFonts w:ascii="Georgia" w:eastAsia="Georgia" w:hAnsi="Georgia" w:cs="Georgia"/>
          <w:sz w:val="20"/>
          <w:szCs w:val="20"/>
        </w:rPr>
        <w:t>% rispetto al 2023) contro i 225.134 € in media in Italia lo scorso anno</w:t>
      </w:r>
      <w:r w:rsidR="00423256">
        <w:rPr>
          <w:rFonts w:ascii="Georgia" w:eastAsia="Georgia" w:hAnsi="Georgia" w:cs="Georgia"/>
          <w:sz w:val="20"/>
          <w:szCs w:val="20"/>
        </w:rPr>
        <w:t>, anche se nel primo mese del 2025 il valore regionale è salito a 231.277 €.</w:t>
      </w:r>
    </w:p>
    <w:p w14:paraId="1F7FEA70" w14:textId="2F98D365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Infine, l’età media dei richiedenti in </w:t>
      </w:r>
      <w:r w:rsidR="00423256">
        <w:rPr>
          <w:rFonts w:ascii="Georgia" w:eastAsia="Georgia" w:hAnsi="Georgia" w:cs="Georgia"/>
          <w:sz w:val="20"/>
          <w:szCs w:val="20"/>
        </w:rPr>
        <w:t>Emilia-Romagna</w:t>
      </w:r>
      <w:r>
        <w:rPr>
          <w:rFonts w:ascii="Georgia" w:eastAsia="Georgia" w:hAnsi="Georgia" w:cs="Georgia"/>
          <w:sz w:val="20"/>
          <w:szCs w:val="20"/>
        </w:rPr>
        <w:t xml:space="preserve"> si è attestata sui 3</w:t>
      </w:r>
      <w:r w:rsidR="00423256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 w:rsidR="00423256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 xml:space="preserve"> mesi nel 2024, ovvero </w:t>
      </w:r>
      <w:r w:rsidR="00423256">
        <w:rPr>
          <w:rFonts w:ascii="Georgia" w:eastAsia="Georgia" w:hAnsi="Georgia" w:cs="Georgia"/>
          <w:sz w:val="20"/>
          <w:szCs w:val="20"/>
        </w:rPr>
        <w:t>ben un anno</w:t>
      </w:r>
      <w:r>
        <w:rPr>
          <w:rFonts w:ascii="Georgia" w:eastAsia="Georgia" w:hAnsi="Georgia" w:cs="Georgia"/>
          <w:sz w:val="20"/>
          <w:szCs w:val="20"/>
        </w:rPr>
        <w:t xml:space="preserve"> più bassa rispetto alla media italiana di 39 anni e 8 mesi, ed è scesa ancora a gennaio del nuovo anno (3</w:t>
      </w:r>
      <w:r w:rsidR="00423256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 w:rsidR="00423256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 xml:space="preserve"> mesi).</w:t>
      </w:r>
    </w:p>
    <w:p w14:paraId="09519B9D" w14:textId="77777777" w:rsidR="008366C4" w:rsidRDefault="008366C4" w:rsidP="008366C4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1ACB901B" w14:textId="77777777" w:rsidR="008366C4" w:rsidRDefault="008366C4" w:rsidP="008366C4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7CC9D500" wp14:editId="72E301C2">
            <wp:extent cx="6534941" cy="3675905"/>
            <wp:effectExtent l="0" t="0" r="0" b="1270"/>
            <wp:docPr id="1304880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0786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941" cy="36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B79" w14:textId="77777777" w:rsidR="00851CCE" w:rsidRDefault="00851CCE"/>
    <w:sectPr w:rsidR="00851CCE" w:rsidSect="008366C4">
      <w:headerReference w:type="default" r:id="rId11"/>
      <w:footerReference w:type="default" r:id="rId12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8106" w14:textId="77777777" w:rsidR="001A130A" w:rsidRDefault="001A130A" w:rsidP="008366C4">
      <w:pPr>
        <w:spacing w:after="0" w:line="240" w:lineRule="auto"/>
      </w:pPr>
      <w:r>
        <w:separator/>
      </w:r>
    </w:p>
  </w:endnote>
  <w:endnote w:type="continuationSeparator" w:id="0">
    <w:p w14:paraId="70783F45" w14:textId="77777777" w:rsidR="001A130A" w:rsidRDefault="001A130A" w:rsidP="0083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AAEE" w14:textId="190271A6" w:rsidR="008366C4" w:rsidRDefault="008366C4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CEBF81" wp14:editId="4CD5AC85">
              <wp:simplePos x="0" y="0"/>
              <wp:positionH relativeFrom="rightMargin">
                <wp:posOffset>-190500</wp:posOffset>
              </wp:positionH>
              <wp:positionV relativeFrom="page">
                <wp:posOffset>10229850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D4E47" w14:textId="77777777" w:rsidR="008366C4" w:rsidRPr="002E625D" w:rsidRDefault="008366C4" w:rsidP="008366C4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EBF81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5pt;margin-top:805.5pt;width:43.65pt;height:2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" filled="f" stroked="f">
              <v:textbox>
                <w:txbxContent>
                  <w:p w14:paraId="02ED4E47" w14:textId="77777777" w:rsidR="008366C4" w:rsidRPr="002E625D" w:rsidRDefault="008366C4" w:rsidP="008366C4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BE906B" wp14:editId="121A8C0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43200" cy="597600"/>
          <wp:effectExtent l="0" t="0" r="0" b="0"/>
          <wp:wrapNone/>
          <wp:docPr id="1683200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00415" name="Immagine 168320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DA5C" w14:textId="77777777" w:rsidR="001A130A" w:rsidRDefault="001A130A" w:rsidP="008366C4">
      <w:pPr>
        <w:spacing w:after="0" w:line="240" w:lineRule="auto"/>
      </w:pPr>
      <w:r>
        <w:separator/>
      </w:r>
    </w:p>
  </w:footnote>
  <w:footnote w:type="continuationSeparator" w:id="0">
    <w:p w14:paraId="760CA275" w14:textId="77777777" w:rsidR="001A130A" w:rsidRDefault="001A130A" w:rsidP="0083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4D65" w14:textId="0AE1F7C9" w:rsidR="008366C4" w:rsidRDefault="008366C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B9477" wp14:editId="4F64E97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C4"/>
    <w:rsid w:val="001A130A"/>
    <w:rsid w:val="00423256"/>
    <w:rsid w:val="004A0982"/>
    <w:rsid w:val="0055793B"/>
    <w:rsid w:val="005A4BBF"/>
    <w:rsid w:val="007008A5"/>
    <w:rsid w:val="008366C4"/>
    <w:rsid w:val="00851CCE"/>
    <w:rsid w:val="00E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484EA"/>
  <w15:chartTrackingRefBased/>
  <w15:docId w15:val="{632F626C-41BD-4DA8-AEF4-F0CEAFA8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6C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6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6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6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66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66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6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6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6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6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66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6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66C4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66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66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66C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66C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6C4"/>
  </w:style>
  <w:style w:type="paragraph" w:styleId="Pidipagina">
    <w:name w:val="footer"/>
    <w:basedOn w:val="Normale"/>
    <w:link w:val="PidipaginaCarattere"/>
    <w:uiPriority w:val="99"/>
    <w:unhideWhenUsed/>
    <w:rsid w:val="008366C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6C4"/>
  </w:style>
  <w:style w:type="character" w:customStyle="1" w:styleId="normaltextrun">
    <w:name w:val="normaltextrun"/>
    <w:basedOn w:val="Carpredefinitoparagrafo"/>
    <w:rsid w:val="008366C4"/>
  </w:style>
  <w:style w:type="character" w:styleId="Collegamentoipertestuale">
    <w:name w:val="Hyperlink"/>
    <w:basedOn w:val="Carpredefinitoparagrafo"/>
    <w:uiPriority w:val="99"/>
    <w:unhideWhenUsed/>
    <w:rsid w:val="00836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tuionline.it/mutuo-surrog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utuionline.it/news/redazione/nicoletta-papucci.as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tuionline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MutuiOnLine S.p.A.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1</cp:revision>
  <dcterms:created xsi:type="dcterms:W3CDTF">2025-02-05T12:17:00Z</dcterms:created>
  <dcterms:modified xsi:type="dcterms:W3CDTF">2025-02-05T13:04:00Z</dcterms:modified>
</cp:coreProperties>
</file>