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0D57" w14:textId="77777777" w:rsidR="00681945" w:rsidRDefault="00681945" w:rsidP="00681945">
      <w:pPr>
        <w:jc w:val="both"/>
        <w:rPr>
          <w:b/>
          <w:bCs/>
          <w:color w:val="DC1C2E"/>
          <w:sz w:val="36"/>
          <w:szCs w:val="36"/>
        </w:rPr>
      </w:pPr>
      <w:r w:rsidRPr="00681945">
        <w:rPr>
          <w:b/>
          <w:bCs/>
          <w:color w:val="DC1C2E"/>
          <w:sz w:val="36"/>
          <w:szCs w:val="36"/>
        </w:rPr>
        <w:t xml:space="preserve">Un </w:t>
      </w:r>
      <w:proofErr w:type="spellStart"/>
      <w:r w:rsidRPr="00681945">
        <w:rPr>
          <w:b/>
          <w:bCs/>
          <w:color w:val="DC1C2E"/>
          <w:sz w:val="36"/>
          <w:szCs w:val="36"/>
        </w:rPr>
        <w:t>italiano</w:t>
      </w:r>
      <w:proofErr w:type="spellEnd"/>
      <w:r w:rsidRPr="00681945">
        <w:rPr>
          <w:b/>
          <w:bCs/>
          <w:color w:val="DC1C2E"/>
          <w:sz w:val="36"/>
          <w:szCs w:val="36"/>
        </w:rPr>
        <w:t xml:space="preserve"> </w:t>
      </w:r>
      <w:proofErr w:type="spellStart"/>
      <w:r w:rsidRPr="00681945">
        <w:rPr>
          <w:b/>
          <w:bCs/>
          <w:color w:val="DC1C2E"/>
          <w:sz w:val="36"/>
          <w:szCs w:val="36"/>
        </w:rPr>
        <w:t>su</w:t>
      </w:r>
      <w:proofErr w:type="spellEnd"/>
      <w:r w:rsidRPr="00681945">
        <w:rPr>
          <w:b/>
          <w:bCs/>
          <w:color w:val="DC1C2E"/>
          <w:sz w:val="36"/>
          <w:szCs w:val="36"/>
        </w:rPr>
        <w:t xml:space="preserve"> quattro </w:t>
      </w:r>
      <w:proofErr w:type="gramStart"/>
      <w:r w:rsidRPr="00681945">
        <w:rPr>
          <w:b/>
          <w:bCs/>
          <w:color w:val="DC1C2E"/>
          <w:sz w:val="36"/>
          <w:szCs w:val="36"/>
        </w:rPr>
        <w:t>pronto</w:t>
      </w:r>
      <w:proofErr w:type="gramEnd"/>
      <w:r w:rsidRPr="00681945">
        <w:rPr>
          <w:b/>
          <w:bCs/>
          <w:color w:val="DC1C2E"/>
          <w:sz w:val="36"/>
          <w:szCs w:val="36"/>
        </w:rPr>
        <w:t xml:space="preserve"> a </w:t>
      </w:r>
      <w:proofErr w:type="spellStart"/>
      <w:r w:rsidRPr="00681945">
        <w:rPr>
          <w:b/>
          <w:bCs/>
          <w:color w:val="DC1C2E"/>
          <w:sz w:val="36"/>
          <w:szCs w:val="36"/>
        </w:rPr>
        <w:t>cambiare</w:t>
      </w:r>
      <w:proofErr w:type="spellEnd"/>
      <w:r w:rsidRPr="00681945">
        <w:rPr>
          <w:b/>
          <w:bCs/>
          <w:color w:val="DC1C2E"/>
          <w:sz w:val="36"/>
          <w:szCs w:val="36"/>
        </w:rPr>
        <w:t xml:space="preserve"> casa: </w:t>
      </w:r>
      <w:proofErr w:type="spellStart"/>
      <w:r w:rsidRPr="00681945">
        <w:rPr>
          <w:b/>
          <w:bCs/>
          <w:color w:val="DC1C2E"/>
          <w:sz w:val="36"/>
          <w:szCs w:val="36"/>
        </w:rPr>
        <w:t>spazi</w:t>
      </w:r>
      <w:proofErr w:type="spellEnd"/>
      <w:r w:rsidRPr="00681945">
        <w:rPr>
          <w:b/>
          <w:bCs/>
          <w:color w:val="DC1C2E"/>
          <w:sz w:val="36"/>
          <w:szCs w:val="36"/>
        </w:rPr>
        <w:t xml:space="preserve"> </w:t>
      </w:r>
      <w:proofErr w:type="spellStart"/>
      <w:r w:rsidRPr="00681945">
        <w:rPr>
          <w:b/>
          <w:bCs/>
          <w:color w:val="DC1C2E"/>
          <w:sz w:val="36"/>
          <w:szCs w:val="36"/>
        </w:rPr>
        <w:t>esterni</w:t>
      </w:r>
      <w:proofErr w:type="spellEnd"/>
      <w:r w:rsidRPr="00681945">
        <w:rPr>
          <w:b/>
          <w:bCs/>
          <w:color w:val="DC1C2E"/>
          <w:sz w:val="36"/>
          <w:szCs w:val="36"/>
        </w:rPr>
        <w:t xml:space="preserve"> ed </w:t>
      </w:r>
      <w:proofErr w:type="spellStart"/>
      <w:r w:rsidRPr="00681945">
        <w:rPr>
          <w:b/>
          <w:bCs/>
          <w:color w:val="DC1C2E"/>
          <w:sz w:val="36"/>
          <w:szCs w:val="36"/>
        </w:rPr>
        <w:t>efficienza</w:t>
      </w:r>
      <w:proofErr w:type="spellEnd"/>
      <w:r w:rsidRPr="00681945">
        <w:rPr>
          <w:b/>
          <w:bCs/>
          <w:color w:val="DC1C2E"/>
          <w:sz w:val="36"/>
          <w:szCs w:val="36"/>
        </w:rPr>
        <w:t xml:space="preserve"> </w:t>
      </w:r>
      <w:proofErr w:type="spellStart"/>
      <w:r w:rsidRPr="00681945">
        <w:rPr>
          <w:b/>
          <w:bCs/>
          <w:color w:val="DC1C2E"/>
          <w:sz w:val="36"/>
          <w:szCs w:val="36"/>
        </w:rPr>
        <w:t>energetica</w:t>
      </w:r>
      <w:proofErr w:type="spellEnd"/>
      <w:r w:rsidRPr="00681945">
        <w:rPr>
          <w:b/>
          <w:bCs/>
          <w:color w:val="DC1C2E"/>
          <w:sz w:val="36"/>
          <w:szCs w:val="36"/>
        </w:rPr>
        <w:t xml:space="preserve"> in </w:t>
      </w:r>
      <w:proofErr w:type="spellStart"/>
      <w:r w:rsidRPr="00681945">
        <w:rPr>
          <w:b/>
          <w:bCs/>
          <w:color w:val="DC1C2E"/>
          <w:sz w:val="36"/>
          <w:szCs w:val="36"/>
        </w:rPr>
        <w:t>cima</w:t>
      </w:r>
      <w:proofErr w:type="spellEnd"/>
      <w:r w:rsidRPr="00681945">
        <w:rPr>
          <w:b/>
          <w:bCs/>
          <w:color w:val="DC1C2E"/>
          <w:sz w:val="36"/>
          <w:szCs w:val="36"/>
        </w:rPr>
        <w:t xml:space="preserve"> alle </w:t>
      </w:r>
      <w:proofErr w:type="spellStart"/>
      <w:r w:rsidRPr="00681945">
        <w:rPr>
          <w:b/>
          <w:bCs/>
          <w:color w:val="DC1C2E"/>
          <w:sz w:val="36"/>
          <w:szCs w:val="36"/>
        </w:rPr>
        <w:t>preferenze</w:t>
      </w:r>
      <w:proofErr w:type="spellEnd"/>
    </w:p>
    <w:p w14:paraId="64E47585" w14:textId="7393D078" w:rsidR="00294F8E" w:rsidRPr="00B86743" w:rsidRDefault="00B86743" w:rsidP="00B8674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3DA5"/>
          <w:sz w:val="24"/>
          <w:szCs w:val="24"/>
        </w:rPr>
      </w:pPr>
      <w:r w:rsidRPr="00B86743">
        <w:rPr>
          <w:b/>
          <w:color w:val="003DA5"/>
          <w:sz w:val="24"/>
          <w:szCs w:val="24"/>
        </w:rPr>
        <w:t xml:space="preserve">Secondo il RE/MAX European Housing Trend Report 2024, la </w:t>
      </w:r>
      <w:proofErr w:type="spellStart"/>
      <w:r w:rsidRPr="00B86743">
        <w:rPr>
          <w:b/>
          <w:color w:val="003DA5"/>
          <w:sz w:val="24"/>
          <w:szCs w:val="24"/>
        </w:rPr>
        <w:t>mancanza</w:t>
      </w:r>
      <w:proofErr w:type="spellEnd"/>
      <w:r w:rsidRPr="00B86743">
        <w:rPr>
          <w:b/>
          <w:color w:val="003DA5"/>
          <w:sz w:val="24"/>
          <w:szCs w:val="24"/>
        </w:rPr>
        <w:t xml:space="preserve"> di </w:t>
      </w:r>
      <w:proofErr w:type="spellStart"/>
      <w:r w:rsidRPr="00B86743">
        <w:rPr>
          <w:b/>
          <w:color w:val="003DA5"/>
          <w:sz w:val="24"/>
          <w:szCs w:val="24"/>
        </w:rPr>
        <w:t>balconi</w:t>
      </w:r>
      <w:proofErr w:type="spellEnd"/>
      <w:r w:rsidRPr="00B86743">
        <w:rPr>
          <w:b/>
          <w:color w:val="003DA5"/>
          <w:sz w:val="24"/>
          <w:szCs w:val="24"/>
        </w:rPr>
        <w:t xml:space="preserve"> e </w:t>
      </w:r>
      <w:proofErr w:type="spellStart"/>
      <w:r w:rsidRPr="00B86743">
        <w:rPr>
          <w:b/>
          <w:color w:val="003DA5"/>
          <w:sz w:val="24"/>
          <w:szCs w:val="24"/>
        </w:rPr>
        <w:t>giardini</w:t>
      </w:r>
      <w:proofErr w:type="spellEnd"/>
      <w:r w:rsidRPr="00B86743">
        <w:rPr>
          <w:b/>
          <w:color w:val="003DA5"/>
          <w:sz w:val="24"/>
          <w:szCs w:val="24"/>
        </w:rPr>
        <w:t xml:space="preserve">, </w:t>
      </w:r>
      <w:proofErr w:type="spellStart"/>
      <w:r w:rsidRPr="00B86743">
        <w:rPr>
          <w:b/>
          <w:color w:val="003DA5"/>
          <w:sz w:val="24"/>
          <w:szCs w:val="24"/>
        </w:rPr>
        <w:t>insieme</w:t>
      </w:r>
      <w:proofErr w:type="spellEnd"/>
      <w:r w:rsidRPr="00B86743">
        <w:rPr>
          <w:b/>
          <w:color w:val="003DA5"/>
          <w:sz w:val="24"/>
          <w:szCs w:val="24"/>
        </w:rPr>
        <w:t xml:space="preserve"> ai </w:t>
      </w:r>
      <w:proofErr w:type="spellStart"/>
      <w:r w:rsidRPr="00B86743">
        <w:rPr>
          <w:b/>
          <w:color w:val="003DA5"/>
          <w:sz w:val="24"/>
          <w:szCs w:val="24"/>
        </w:rPr>
        <w:t>costi</w:t>
      </w:r>
      <w:proofErr w:type="spellEnd"/>
      <w:r w:rsidRPr="00B86743">
        <w:rPr>
          <w:b/>
          <w:color w:val="003DA5"/>
          <w:sz w:val="24"/>
          <w:szCs w:val="24"/>
        </w:rPr>
        <w:t xml:space="preserve"> </w:t>
      </w:r>
      <w:proofErr w:type="spellStart"/>
      <w:r w:rsidRPr="00B86743">
        <w:rPr>
          <w:b/>
          <w:color w:val="003DA5"/>
          <w:sz w:val="24"/>
          <w:szCs w:val="24"/>
        </w:rPr>
        <w:t>energetici</w:t>
      </w:r>
      <w:proofErr w:type="spellEnd"/>
      <w:r w:rsidRPr="00B86743">
        <w:rPr>
          <w:b/>
          <w:color w:val="003DA5"/>
          <w:sz w:val="24"/>
          <w:szCs w:val="24"/>
        </w:rPr>
        <w:t xml:space="preserve"> </w:t>
      </w:r>
      <w:proofErr w:type="spellStart"/>
      <w:r w:rsidRPr="00B86743">
        <w:rPr>
          <w:b/>
          <w:color w:val="003DA5"/>
          <w:sz w:val="24"/>
          <w:szCs w:val="24"/>
        </w:rPr>
        <w:t>elevati</w:t>
      </w:r>
      <w:proofErr w:type="spellEnd"/>
      <w:r w:rsidRPr="00B86743">
        <w:rPr>
          <w:b/>
          <w:color w:val="003DA5"/>
          <w:sz w:val="24"/>
          <w:szCs w:val="24"/>
        </w:rPr>
        <w:t xml:space="preserve">, </w:t>
      </w:r>
      <w:proofErr w:type="spellStart"/>
      <w:r w:rsidRPr="00B86743">
        <w:rPr>
          <w:b/>
          <w:color w:val="003DA5"/>
          <w:sz w:val="24"/>
          <w:szCs w:val="24"/>
        </w:rPr>
        <w:t>guida</w:t>
      </w:r>
      <w:proofErr w:type="spellEnd"/>
      <w:r w:rsidRPr="00B86743">
        <w:rPr>
          <w:b/>
          <w:color w:val="003DA5"/>
          <w:sz w:val="24"/>
          <w:szCs w:val="24"/>
        </w:rPr>
        <w:t xml:space="preserve"> </w:t>
      </w:r>
      <w:proofErr w:type="spellStart"/>
      <w:r w:rsidRPr="00B86743">
        <w:rPr>
          <w:b/>
          <w:color w:val="003DA5"/>
          <w:sz w:val="24"/>
          <w:szCs w:val="24"/>
        </w:rPr>
        <w:t>l’insoddisfazione</w:t>
      </w:r>
      <w:proofErr w:type="spellEnd"/>
      <w:r w:rsidRPr="00B86743">
        <w:rPr>
          <w:b/>
          <w:color w:val="003DA5"/>
          <w:sz w:val="24"/>
          <w:szCs w:val="24"/>
        </w:rPr>
        <w:t xml:space="preserve"> </w:t>
      </w:r>
      <w:proofErr w:type="spellStart"/>
      <w:r w:rsidRPr="00B86743">
        <w:rPr>
          <w:b/>
          <w:color w:val="003DA5"/>
          <w:sz w:val="24"/>
          <w:szCs w:val="24"/>
        </w:rPr>
        <w:t>abitativa</w:t>
      </w:r>
      <w:proofErr w:type="spellEnd"/>
      <w:r w:rsidRPr="00B86743">
        <w:rPr>
          <w:b/>
          <w:color w:val="003DA5"/>
          <w:sz w:val="24"/>
          <w:szCs w:val="24"/>
        </w:rPr>
        <w:t xml:space="preserve"> in Italia e in Europa.</w:t>
      </w:r>
    </w:p>
    <w:p w14:paraId="4633C293" w14:textId="77777777" w:rsidR="00B86743" w:rsidRPr="00077D43" w:rsidRDefault="00B86743" w:rsidP="00B86743">
      <w:pPr>
        <w:jc w:val="both"/>
        <w:rPr>
          <w:sz w:val="22"/>
          <w:szCs w:val="22"/>
          <w:lang w:val="it-IT"/>
        </w:rPr>
      </w:pPr>
    </w:p>
    <w:p w14:paraId="062CA332" w14:textId="2A1AC8D8" w:rsidR="00077D43" w:rsidRDefault="00077D43" w:rsidP="00077D43">
      <w:pPr>
        <w:jc w:val="both"/>
        <w:rPr>
          <w:sz w:val="22"/>
          <w:szCs w:val="22"/>
          <w:lang w:val="it-IT"/>
        </w:rPr>
      </w:pPr>
      <w:r w:rsidRPr="00077D43">
        <w:rPr>
          <w:sz w:val="22"/>
          <w:szCs w:val="22"/>
          <w:lang w:val="it-IT"/>
        </w:rPr>
        <w:t xml:space="preserve">In linea con la media europea, il 24% degli italiani dichiara di desiderare una nuova soluzione abitativa. Di questi, il 17% prevede di </w:t>
      </w:r>
      <w:r w:rsidR="00E86569">
        <w:rPr>
          <w:sz w:val="22"/>
          <w:szCs w:val="22"/>
          <w:lang w:val="it-IT"/>
        </w:rPr>
        <w:t>traslocare</w:t>
      </w:r>
      <w:r w:rsidR="00E86569" w:rsidRPr="00077D43">
        <w:rPr>
          <w:sz w:val="22"/>
          <w:szCs w:val="22"/>
          <w:lang w:val="it-IT"/>
        </w:rPr>
        <w:t xml:space="preserve"> </w:t>
      </w:r>
      <w:r w:rsidRPr="00077D43">
        <w:rPr>
          <w:sz w:val="22"/>
          <w:szCs w:val="22"/>
          <w:lang w:val="it-IT"/>
        </w:rPr>
        <w:t xml:space="preserve">entro i prossimi 12 mesi, mentre il 28% valuta il trasferimento in un Paese straniero, con l’obiettivo di trovare una vita economicamente più sostenibile. </w:t>
      </w:r>
    </w:p>
    <w:p w14:paraId="637788FE" w14:textId="77777777" w:rsidR="00077D43" w:rsidRPr="00077D43" w:rsidRDefault="00077D43" w:rsidP="00077D43">
      <w:pPr>
        <w:jc w:val="both"/>
        <w:rPr>
          <w:sz w:val="22"/>
          <w:szCs w:val="22"/>
          <w:lang w:val="it-IT"/>
        </w:rPr>
      </w:pPr>
    </w:p>
    <w:p w14:paraId="57367CE9" w14:textId="77777777" w:rsidR="00077D43" w:rsidRPr="008E5D43" w:rsidRDefault="00077D43" w:rsidP="00077D43">
      <w:pPr>
        <w:jc w:val="both"/>
        <w:rPr>
          <w:sz w:val="22"/>
          <w:szCs w:val="22"/>
          <w:lang w:val="it-IT"/>
        </w:rPr>
      </w:pPr>
      <w:r w:rsidRPr="008E5D43">
        <w:rPr>
          <w:sz w:val="22"/>
          <w:szCs w:val="22"/>
          <w:lang w:val="it-IT"/>
        </w:rPr>
        <w:t xml:space="preserve">Questo quanto emerge dal </w:t>
      </w:r>
      <w:r w:rsidRPr="008E5D43">
        <w:rPr>
          <w:b/>
          <w:bCs/>
          <w:sz w:val="22"/>
          <w:szCs w:val="22"/>
          <w:lang w:val="it-IT"/>
        </w:rPr>
        <w:t xml:space="preserve">RE/MAX </w:t>
      </w:r>
      <w:proofErr w:type="spellStart"/>
      <w:r w:rsidRPr="008E5D43">
        <w:rPr>
          <w:b/>
          <w:bCs/>
          <w:sz w:val="22"/>
          <w:szCs w:val="22"/>
          <w:lang w:val="it-IT"/>
        </w:rPr>
        <w:t>European</w:t>
      </w:r>
      <w:proofErr w:type="spellEnd"/>
      <w:r w:rsidRPr="008E5D43">
        <w:rPr>
          <w:b/>
          <w:bCs/>
          <w:sz w:val="22"/>
          <w:szCs w:val="22"/>
          <w:lang w:val="it-IT"/>
        </w:rPr>
        <w:t xml:space="preserve"> Housing Trend Report 2024</w:t>
      </w:r>
      <w:r w:rsidRPr="00D73617">
        <w:rPr>
          <w:sz w:val="22"/>
          <w:szCs w:val="22"/>
          <w:lang w:val="it-IT"/>
        </w:rPr>
        <w:t>,</w:t>
      </w:r>
      <w:r w:rsidRPr="008E5D43">
        <w:rPr>
          <w:sz w:val="22"/>
          <w:szCs w:val="22"/>
          <w:lang w:val="it-IT"/>
        </w:rPr>
        <w:t xml:space="preserve"> che offre un’analisi approfondita dei cambiamenti che stanno influenzando il mercato </w:t>
      </w:r>
      <w:r>
        <w:rPr>
          <w:sz w:val="22"/>
          <w:szCs w:val="22"/>
          <w:lang w:val="it-IT"/>
        </w:rPr>
        <w:t>immobiliare</w:t>
      </w:r>
      <w:r w:rsidRPr="008E5D43">
        <w:rPr>
          <w:sz w:val="22"/>
          <w:szCs w:val="22"/>
          <w:lang w:val="it-IT"/>
        </w:rPr>
        <w:t xml:space="preserve"> europeo, esplorando come le pressioni finanziarie, le preferenze in evoluzione e le preoccupazioni legate alla sostenibilità stiano plasmando le decisioni abitative. Il sondaggio fornisce una fotografia dei </w:t>
      </w:r>
      <w:r w:rsidRPr="00D73617">
        <w:rPr>
          <w:i/>
          <w:iCs/>
          <w:sz w:val="22"/>
          <w:szCs w:val="22"/>
          <w:lang w:val="it-IT"/>
        </w:rPr>
        <w:t>desiderata</w:t>
      </w:r>
      <w:r w:rsidRPr="008E5D43">
        <w:rPr>
          <w:sz w:val="22"/>
          <w:szCs w:val="22"/>
          <w:lang w:val="it-IT"/>
        </w:rPr>
        <w:t xml:space="preserve"> raccolti intervistando 20.000</w:t>
      </w:r>
      <w:r>
        <w:rPr>
          <w:sz w:val="22"/>
          <w:szCs w:val="22"/>
          <w:lang w:val="it-IT"/>
        </w:rPr>
        <w:t xml:space="preserve"> persone</w:t>
      </w:r>
      <w:r w:rsidRPr="008E5D43">
        <w:rPr>
          <w:sz w:val="22"/>
          <w:szCs w:val="22"/>
          <w:lang w:val="it-IT"/>
        </w:rPr>
        <w:t xml:space="preserve"> in Regno Unito, Francia, Germania, Austria, Bulgaria, Croazia, Repubblica Ceca, Finlandia, Grecia, Ungheria, Irlanda, Malta, Paesi Bassi, Polonia, Portogallo, Romania, Slovenia, Spagna, Svizzera, Turchia e Italia. In generale, </w:t>
      </w:r>
      <w:r>
        <w:rPr>
          <w:sz w:val="22"/>
          <w:szCs w:val="22"/>
          <w:lang w:val="it-IT"/>
        </w:rPr>
        <w:t>dall’indagine</w:t>
      </w:r>
      <w:r w:rsidRPr="008E5D43">
        <w:rPr>
          <w:sz w:val="22"/>
          <w:szCs w:val="22"/>
          <w:lang w:val="it-IT"/>
        </w:rPr>
        <w:t xml:space="preserve"> emerge che il mercato immobiliare europeo sta attraversando cambiamenti profondi, influenzati dalle sfide internazionali in corso e dal crescente costo della vita. Ciò sta portando le famiglie di tutta Europa a rivalutare le esigenze abitative per meglio bilanciare le pressioni finanziarie con il desiderio di migliori condizioni di vita.</w:t>
      </w:r>
    </w:p>
    <w:p w14:paraId="67D30D2D" w14:textId="77777777" w:rsidR="00077D43" w:rsidRDefault="00077D43" w:rsidP="00077D43">
      <w:pPr>
        <w:jc w:val="both"/>
        <w:rPr>
          <w:b/>
          <w:bCs/>
          <w:sz w:val="22"/>
          <w:szCs w:val="22"/>
          <w:lang w:val="it-IT"/>
        </w:rPr>
      </w:pPr>
    </w:p>
    <w:p w14:paraId="5CCD9A1C" w14:textId="6097DF1B" w:rsidR="00077D43" w:rsidRPr="00077D43" w:rsidRDefault="00077D43" w:rsidP="00077D43">
      <w:pPr>
        <w:jc w:val="both"/>
        <w:rPr>
          <w:b/>
          <w:bCs/>
          <w:sz w:val="22"/>
          <w:szCs w:val="22"/>
          <w:lang w:val="it-IT"/>
        </w:rPr>
      </w:pPr>
      <w:r w:rsidRPr="00077D43">
        <w:rPr>
          <w:b/>
          <w:bCs/>
          <w:sz w:val="22"/>
          <w:szCs w:val="22"/>
          <w:lang w:val="it-IT"/>
        </w:rPr>
        <w:t>Spazi esterni</w:t>
      </w:r>
      <w:r w:rsidR="00850CA8">
        <w:rPr>
          <w:b/>
          <w:bCs/>
          <w:sz w:val="22"/>
          <w:szCs w:val="22"/>
          <w:lang w:val="it-IT"/>
        </w:rPr>
        <w:t xml:space="preserve">, </w:t>
      </w:r>
      <w:r w:rsidRPr="00077D43">
        <w:rPr>
          <w:b/>
          <w:bCs/>
          <w:sz w:val="22"/>
          <w:szCs w:val="22"/>
          <w:lang w:val="it-IT"/>
        </w:rPr>
        <w:t xml:space="preserve">comfort abitativo </w:t>
      </w:r>
      <w:r w:rsidR="00850CA8">
        <w:rPr>
          <w:b/>
          <w:bCs/>
          <w:sz w:val="22"/>
          <w:szCs w:val="22"/>
          <w:lang w:val="it-IT"/>
        </w:rPr>
        <w:t xml:space="preserve">ed efficientamento energetico </w:t>
      </w:r>
      <w:r w:rsidRPr="00077D43">
        <w:rPr>
          <w:b/>
          <w:bCs/>
          <w:sz w:val="22"/>
          <w:szCs w:val="22"/>
          <w:lang w:val="it-IT"/>
        </w:rPr>
        <w:t>in primo piano</w:t>
      </w:r>
    </w:p>
    <w:p w14:paraId="569E019B" w14:textId="77777777" w:rsidR="00077D43" w:rsidRPr="00077D43" w:rsidRDefault="00077D43" w:rsidP="00077D43">
      <w:pPr>
        <w:jc w:val="both"/>
        <w:rPr>
          <w:sz w:val="22"/>
          <w:szCs w:val="22"/>
          <w:lang w:val="it-IT"/>
        </w:rPr>
      </w:pPr>
      <w:r w:rsidRPr="00077D43">
        <w:rPr>
          <w:sz w:val="22"/>
          <w:szCs w:val="22"/>
          <w:lang w:val="it-IT"/>
        </w:rPr>
        <w:t>Gli italiani che cercano una nuova casa attribuiscono grande valore agli spazi esterni: il 52% considera fondamentali balconi, terrazze o giardini, una percentuale superiore rispetto alla media europea del 44%. Altri fattori, come la disposizione degli spazi interni (9%) e la vicinanza al luogo di lavoro (16%), risultano meno cruciali, segnalando una maggiore attenzione al miglioramento dello stile di vita e del comfort abitativo.</w:t>
      </w:r>
    </w:p>
    <w:p w14:paraId="06B0848F" w14:textId="77777777" w:rsidR="00077D43" w:rsidRPr="00077D43" w:rsidRDefault="00077D43" w:rsidP="00077D43">
      <w:pPr>
        <w:jc w:val="both"/>
        <w:rPr>
          <w:sz w:val="22"/>
          <w:szCs w:val="22"/>
          <w:lang w:val="it-IT"/>
        </w:rPr>
      </w:pPr>
      <w:r w:rsidRPr="00077D43">
        <w:rPr>
          <w:sz w:val="22"/>
          <w:szCs w:val="22"/>
          <w:lang w:val="it-IT"/>
        </w:rPr>
        <w:t>Inoltre, il 44% degli italiani è interessato a immobili dotati di sistemi per l’efficientamento energetico, il 26% desidera vicinanza a spazi verdi, il 24% valuta essenziale la prossimità a servizi quali scuole e negozi, mentre il 23% considera fondamentale un buon collegamento con i trasporti pubblici.</w:t>
      </w:r>
    </w:p>
    <w:p w14:paraId="66859CC4" w14:textId="77777777" w:rsidR="00077D43" w:rsidRDefault="00077D43" w:rsidP="00077D43">
      <w:pPr>
        <w:jc w:val="both"/>
        <w:rPr>
          <w:b/>
          <w:bCs/>
          <w:sz w:val="22"/>
          <w:szCs w:val="22"/>
          <w:lang w:val="it-IT"/>
        </w:rPr>
      </w:pPr>
    </w:p>
    <w:p w14:paraId="3CDA0EFB" w14:textId="26AD6EEF" w:rsidR="00077D43" w:rsidRPr="00077D43" w:rsidRDefault="00077D43" w:rsidP="00077D43">
      <w:pPr>
        <w:jc w:val="both"/>
        <w:rPr>
          <w:b/>
          <w:bCs/>
          <w:sz w:val="22"/>
          <w:szCs w:val="22"/>
          <w:lang w:val="it-IT"/>
        </w:rPr>
      </w:pPr>
      <w:r w:rsidRPr="00077D43">
        <w:rPr>
          <w:b/>
          <w:bCs/>
          <w:sz w:val="22"/>
          <w:szCs w:val="22"/>
          <w:lang w:val="it-IT"/>
        </w:rPr>
        <w:t>Il peso delle spese abitative</w:t>
      </w:r>
    </w:p>
    <w:p w14:paraId="147D9365" w14:textId="0BAAF07E" w:rsidR="00077D43" w:rsidRPr="00077D43" w:rsidRDefault="00077D43" w:rsidP="00077D43">
      <w:pPr>
        <w:jc w:val="both"/>
        <w:rPr>
          <w:sz w:val="22"/>
          <w:szCs w:val="22"/>
          <w:lang w:val="it-IT"/>
        </w:rPr>
      </w:pPr>
      <w:r w:rsidRPr="00077D43">
        <w:rPr>
          <w:sz w:val="22"/>
          <w:szCs w:val="22"/>
          <w:lang w:val="it-IT"/>
        </w:rPr>
        <w:t>Per molti europei, i costi abitativi rappresentano la voce di spesa più significativa del bilancio familiare. In media, il 38% del reddito mensile è destinato a mutui, affitti e bollette</w:t>
      </w:r>
      <w:r w:rsidRPr="00077D43">
        <w:rPr>
          <w:color w:val="000000" w:themeColor="text1"/>
          <w:sz w:val="22"/>
          <w:szCs w:val="22"/>
          <w:lang w:val="it-IT"/>
        </w:rPr>
        <w:t xml:space="preserve">. In Italia, </w:t>
      </w:r>
      <w:r w:rsidR="00F84BBF">
        <w:rPr>
          <w:color w:val="000000" w:themeColor="text1"/>
          <w:sz w:val="22"/>
          <w:szCs w:val="22"/>
          <w:lang w:val="it-IT"/>
        </w:rPr>
        <w:t>d</w:t>
      </w:r>
      <w:r w:rsidR="00681945" w:rsidRPr="00681945">
        <w:rPr>
          <w:color w:val="000000" w:themeColor="text1"/>
          <w:sz w:val="22"/>
          <w:szCs w:val="22"/>
          <w:lang w:val="it-IT"/>
        </w:rPr>
        <w:t xml:space="preserve">all’indagine di RE/MAX Europe emerge che </w:t>
      </w:r>
      <w:r w:rsidRPr="00077D43">
        <w:rPr>
          <w:color w:val="000000" w:themeColor="text1"/>
          <w:sz w:val="22"/>
          <w:szCs w:val="22"/>
          <w:lang w:val="it-IT"/>
        </w:rPr>
        <w:t>il 39% degli intervistati segnala un aumento dei co</w:t>
      </w:r>
      <w:r w:rsidRPr="00077D43">
        <w:rPr>
          <w:sz w:val="22"/>
          <w:szCs w:val="22"/>
          <w:lang w:val="it-IT"/>
        </w:rPr>
        <w:t>sti abitativi nell’ultimo anno, mentre il 58% considera la sostenibilità economica della propria abitazione più importante di qualsiasi altro aspetto.</w:t>
      </w:r>
    </w:p>
    <w:p w14:paraId="308C45DC" w14:textId="629A3665" w:rsidR="00077D43" w:rsidRPr="00077D43" w:rsidRDefault="00077D43" w:rsidP="00077D43">
      <w:pPr>
        <w:jc w:val="both"/>
        <w:rPr>
          <w:sz w:val="22"/>
          <w:szCs w:val="22"/>
          <w:lang w:val="it-IT"/>
        </w:rPr>
      </w:pPr>
      <w:r w:rsidRPr="00077D43">
        <w:rPr>
          <w:sz w:val="22"/>
          <w:szCs w:val="22"/>
          <w:lang w:val="it-IT"/>
        </w:rPr>
        <w:lastRenderedPageBreak/>
        <w:t xml:space="preserve">Nonostante l’aumento dei costi </w:t>
      </w:r>
      <w:r w:rsidR="00681945">
        <w:rPr>
          <w:sz w:val="22"/>
          <w:szCs w:val="22"/>
          <w:lang w:val="it-IT"/>
        </w:rPr>
        <w:t xml:space="preserve">abitativi </w:t>
      </w:r>
      <w:r w:rsidRPr="00077D43">
        <w:rPr>
          <w:sz w:val="22"/>
          <w:szCs w:val="22"/>
          <w:lang w:val="it-IT"/>
        </w:rPr>
        <w:t xml:space="preserve">in Italia sia inferiore rispetto alla media europea (-15%), una percentuale significativa di italiani </w:t>
      </w:r>
      <w:r w:rsidR="00681945">
        <w:rPr>
          <w:sz w:val="22"/>
          <w:szCs w:val="22"/>
          <w:lang w:val="it-IT"/>
        </w:rPr>
        <w:t xml:space="preserve">intervistati </w:t>
      </w:r>
      <w:r w:rsidRPr="00077D43">
        <w:rPr>
          <w:sz w:val="22"/>
          <w:szCs w:val="22"/>
          <w:lang w:val="it-IT"/>
        </w:rPr>
        <w:t>è pronta a trasferirsi all’estero per migliorare la propria situazione finanziaria.</w:t>
      </w:r>
    </w:p>
    <w:p w14:paraId="67370E96" w14:textId="77777777" w:rsidR="00077D43" w:rsidRDefault="00077D43" w:rsidP="00077D43">
      <w:pPr>
        <w:jc w:val="both"/>
        <w:rPr>
          <w:sz w:val="22"/>
          <w:szCs w:val="22"/>
          <w:lang w:val="it-IT"/>
        </w:rPr>
      </w:pPr>
    </w:p>
    <w:p w14:paraId="1060DD4B" w14:textId="2EDBF228" w:rsidR="00077D43" w:rsidRPr="00077D43" w:rsidRDefault="00077D43" w:rsidP="00077D43">
      <w:pPr>
        <w:jc w:val="both"/>
        <w:rPr>
          <w:b/>
          <w:bCs/>
          <w:sz w:val="22"/>
          <w:szCs w:val="22"/>
          <w:lang w:val="it-IT"/>
        </w:rPr>
      </w:pPr>
      <w:r w:rsidRPr="00077D43">
        <w:rPr>
          <w:b/>
          <w:bCs/>
          <w:sz w:val="22"/>
          <w:szCs w:val="22"/>
          <w:lang w:val="it-IT"/>
        </w:rPr>
        <w:t>Uno sguardo al futuro del mercato immobiliare</w:t>
      </w:r>
    </w:p>
    <w:p w14:paraId="1FC8C7A9" w14:textId="1C6C26B5" w:rsidR="00077D43" w:rsidRPr="00077D43" w:rsidRDefault="00077D43" w:rsidP="00077D43">
      <w:pPr>
        <w:jc w:val="both"/>
        <w:rPr>
          <w:sz w:val="22"/>
          <w:szCs w:val="22"/>
          <w:lang w:val="it-IT"/>
        </w:rPr>
      </w:pPr>
      <w:r w:rsidRPr="00077D43">
        <w:rPr>
          <w:sz w:val="22"/>
          <w:szCs w:val="22"/>
          <w:lang w:val="it-IT"/>
        </w:rPr>
        <w:t>“</w:t>
      </w:r>
      <w:r w:rsidRPr="00077D43">
        <w:rPr>
          <w:i/>
          <w:iCs/>
          <w:sz w:val="22"/>
          <w:szCs w:val="22"/>
          <w:lang w:val="it-IT"/>
        </w:rPr>
        <w:t xml:space="preserve">Le </w:t>
      </w:r>
      <w:r w:rsidR="00681945" w:rsidRPr="00B86743">
        <w:rPr>
          <w:i/>
          <w:iCs/>
          <w:sz w:val="22"/>
          <w:szCs w:val="22"/>
          <w:lang w:val="it-IT"/>
        </w:rPr>
        <w:t>prevision</w:t>
      </w:r>
      <w:r w:rsidR="00F84BBF">
        <w:rPr>
          <w:i/>
          <w:iCs/>
          <w:sz w:val="22"/>
          <w:szCs w:val="22"/>
          <w:lang w:val="it-IT"/>
        </w:rPr>
        <w:t>i</w:t>
      </w:r>
      <w:r w:rsidR="00681945" w:rsidRPr="00B86743">
        <w:rPr>
          <w:i/>
          <w:iCs/>
          <w:sz w:val="22"/>
          <w:szCs w:val="22"/>
          <w:lang w:val="it-IT"/>
        </w:rPr>
        <w:t xml:space="preserve"> del Centro Studi </w:t>
      </w:r>
      <w:r w:rsidR="00E86569">
        <w:rPr>
          <w:i/>
          <w:iCs/>
          <w:sz w:val="22"/>
          <w:szCs w:val="22"/>
          <w:lang w:val="it-IT"/>
        </w:rPr>
        <w:t xml:space="preserve">di </w:t>
      </w:r>
      <w:r w:rsidR="00681945" w:rsidRPr="00B86743">
        <w:rPr>
          <w:i/>
          <w:iCs/>
          <w:sz w:val="22"/>
          <w:szCs w:val="22"/>
          <w:lang w:val="it-IT"/>
        </w:rPr>
        <w:t>RE/MAX Italia</w:t>
      </w:r>
      <w:r w:rsidRPr="00077D43">
        <w:rPr>
          <w:i/>
          <w:iCs/>
          <w:sz w:val="22"/>
          <w:szCs w:val="22"/>
          <w:lang w:val="it-IT"/>
        </w:rPr>
        <w:t xml:space="preserve"> indicano un 2025 dinamico, con tassi in calo e un mercato del lavoro più solido”</w:t>
      </w:r>
      <w:r w:rsidR="00E86569" w:rsidRPr="00077D43">
        <w:rPr>
          <w:i/>
          <w:iCs/>
          <w:sz w:val="22"/>
          <w:szCs w:val="22"/>
          <w:lang w:val="it-IT"/>
        </w:rPr>
        <w:t>,</w:t>
      </w:r>
      <w:r w:rsidRPr="00077D43">
        <w:rPr>
          <w:i/>
          <w:iCs/>
          <w:sz w:val="22"/>
          <w:szCs w:val="22"/>
          <w:lang w:val="it-IT"/>
        </w:rPr>
        <w:t xml:space="preserve"> </w:t>
      </w:r>
      <w:r w:rsidRPr="0053397E">
        <w:rPr>
          <w:sz w:val="22"/>
          <w:szCs w:val="22"/>
          <w:lang w:val="it-IT"/>
        </w:rPr>
        <w:t xml:space="preserve">afferma </w:t>
      </w:r>
      <w:r w:rsidRPr="00077D43">
        <w:rPr>
          <w:b/>
          <w:bCs/>
          <w:sz w:val="22"/>
          <w:szCs w:val="22"/>
          <w:lang w:val="it-IT"/>
        </w:rPr>
        <w:t xml:space="preserve">Dario Castiglia, CEO &amp; Founder di </w:t>
      </w:r>
      <w:hyperlink r:id="rId7" w:history="1">
        <w:r w:rsidRPr="00E86569">
          <w:rPr>
            <w:rStyle w:val="Collegamentoipertestuale"/>
            <w:b/>
            <w:bCs/>
            <w:sz w:val="22"/>
            <w:szCs w:val="22"/>
            <w:lang w:val="it-IT"/>
          </w:rPr>
          <w:t>RE/MAX Italia</w:t>
        </w:r>
      </w:hyperlink>
      <w:r w:rsidRPr="00077D43">
        <w:rPr>
          <w:i/>
          <w:iCs/>
          <w:sz w:val="22"/>
          <w:szCs w:val="22"/>
          <w:lang w:val="it-IT"/>
        </w:rPr>
        <w:t>. “La maggiore chiarezza dello scenario politico globale e l’accessibilità al credito stanno già contribuendo a rinvigorire la fiducia dei consumatori”</w:t>
      </w:r>
      <w:r w:rsidR="00E86569" w:rsidRPr="00077D43">
        <w:rPr>
          <w:i/>
          <w:iCs/>
          <w:sz w:val="22"/>
          <w:szCs w:val="22"/>
          <w:lang w:val="it-IT"/>
        </w:rPr>
        <w:t>.</w:t>
      </w:r>
    </w:p>
    <w:p w14:paraId="45B95CF6" w14:textId="77777777" w:rsidR="00077D43" w:rsidRDefault="00077D43" w:rsidP="00077D43">
      <w:pPr>
        <w:jc w:val="both"/>
        <w:rPr>
          <w:sz w:val="22"/>
          <w:szCs w:val="22"/>
          <w:lang w:val="it-IT"/>
        </w:rPr>
      </w:pPr>
      <w:r w:rsidRPr="00077D43">
        <w:rPr>
          <w:sz w:val="22"/>
          <w:szCs w:val="22"/>
          <w:lang w:val="it-IT"/>
        </w:rPr>
        <w:t>Il sogno della proprietà immobiliare rimane forte: il 72% degli italiani è già proprietario di almeno una casa, e il 26% possiede più di un immobile. Questo desiderio, condiviso in tutta Europa, continua a rappresentare non solo un obiettivo personale, ma anche un’opportunità di investimento per il futuro.</w:t>
      </w:r>
    </w:p>
    <w:p w14:paraId="6486A9BA" w14:textId="77777777" w:rsidR="00FD2FC0" w:rsidRPr="00077D43" w:rsidRDefault="00FD2FC0" w:rsidP="00077D43">
      <w:pPr>
        <w:jc w:val="both"/>
        <w:rPr>
          <w:sz w:val="22"/>
          <w:szCs w:val="22"/>
          <w:lang w:val="it-IT"/>
        </w:rPr>
      </w:pPr>
    </w:p>
    <w:p w14:paraId="18AC7AF7" w14:textId="77777777" w:rsidR="00077D43" w:rsidRPr="00077D43" w:rsidRDefault="00077D43" w:rsidP="00077D43">
      <w:pPr>
        <w:jc w:val="both"/>
        <w:rPr>
          <w:sz w:val="22"/>
          <w:szCs w:val="22"/>
          <w:lang w:val="it-IT"/>
        </w:rPr>
      </w:pPr>
      <w:r w:rsidRPr="00077D43">
        <w:rPr>
          <w:sz w:val="22"/>
          <w:szCs w:val="22"/>
          <w:lang w:val="it-IT"/>
        </w:rPr>
        <w:t xml:space="preserve">Il mercato immobiliare europeo e italiano sta attraversando profondi cambiamenti. Le famiglie stanno rivalutando le proprie esigenze abitative per bilanciare pressioni economiche e desiderio di miglioramento delle condizioni di vita. Il RE/MAX </w:t>
      </w:r>
      <w:proofErr w:type="spellStart"/>
      <w:r w:rsidRPr="00077D43">
        <w:rPr>
          <w:sz w:val="22"/>
          <w:szCs w:val="22"/>
          <w:lang w:val="it-IT"/>
        </w:rPr>
        <w:t>European</w:t>
      </w:r>
      <w:proofErr w:type="spellEnd"/>
      <w:r w:rsidRPr="00077D43">
        <w:rPr>
          <w:sz w:val="22"/>
          <w:szCs w:val="22"/>
          <w:lang w:val="it-IT"/>
        </w:rPr>
        <w:t xml:space="preserve"> Housing Trend Report 2024 offre una guida preziosa per comprendere queste tendenze e cogliere le opportunità emergenti in un settore in costante evoluzione.</w:t>
      </w:r>
    </w:p>
    <w:p w14:paraId="55B878CE" w14:textId="77777777" w:rsidR="008E5D43" w:rsidRDefault="008E5D43" w:rsidP="006A6074">
      <w:pPr>
        <w:rPr>
          <w:lang w:val="it-IT"/>
        </w:rPr>
      </w:pPr>
    </w:p>
    <w:p w14:paraId="4FCB01FD" w14:textId="77777777" w:rsidR="00294F8E" w:rsidRDefault="00294F8E">
      <w:pPr>
        <w:ind w:left="266" w:hanging="266"/>
      </w:pPr>
    </w:p>
    <w:p w14:paraId="5250AC21" w14:textId="5DA336A3" w:rsidR="008F2D8C" w:rsidRPr="004A70AA" w:rsidRDefault="00294F8E">
      <w:pPr>
        <w:ind w:left="266" w:hanging="266"/>
        <w:rPr>
          <w:b/>
          <w:color w:val="004A99"/>
          <w:kern w:val="2"/>
          <w:sz w:val="22"/>
          <w:szCs w:val="22"/>
          <w:lang w:val="it-IT"/>
          <w14:ligatures w14:val="standardContextual"/>
        </w:rPr>
      </w:pPr>
      <w:r w:rsidRPr="004A70AA">
        <w:rPr>
          <w:b/>
          <w:color w:val="004A99"/>
          <w:kern w:val="2"/>
          <w:sz w:val="22"/>
          <w:szCs w:val="22"/>
          <w:lang w:val="it-IT"/>
          <w14:ligatures w14:val="standardContextual"/>
        </w:rPr>
        <w:t xml:space="preserve">Informazioni sul RE/MAX </w:t>
      </w:r>
      <w:proofErr w:type="spellStart"/>
      <w:r w:rsidRPr="004A70AA">
        <w:rPr>
          <w:b/>
          <w:color w:val="004A99"/>
          <w:kern w:val="2"/>
          <w:sz w:val="22"/>
          <w:szCs w:val="22"/>
          <w:lang w:val="it-IT"/>
          <w14:ligatures w14:val="standardContextual"/>
        </w:rPr>
        <w:t>European</w:t>
      </w:r>
      <w:proofErr w:type="spellEnd"/>
      <w:r w:rsidRPr="004A70AA">
        <w:rPr>
          <w:b/>
          <w:color w:val="004A99"/>
          <w:kern w:val="2"/>
          <w:sz w:val="22"/>
          <w:szCs w:val="22"/>
          <w:lang w:val="it-IT"/>
          <w14:ligatures w14:val="standardContextual"/>
        </w:rPr>
        <w:t xml:space="preserve"> Housing Trend Report 2024</w:t>
      </w:r>
    </w:p>
    <w:p w14:paraId="659B5A9B" w14:textId="77777777" w:rsidR="00294F8E" w:rsidRPr="00294F8E" w:rsidRDefault="00294F8E" w:rsidP="003001EB">
      <w:pPr>
        <w:jc w:val="both"/>
        <w:rPr>
          <w:lang w:val="it-IT"/>
        </w:rPr>
      </w:pPr>
      <w:r w:rsidRPr="00294F8E">
        <w:rPr>
          <w:lang w:val="it-IT"/>
        </w:rPr>
        <w:t xml:space="preserve">Il RE/MAX </w:t>
      </w:r>
      <w:proofErr w:type="spellStart"/>
      <w:r w:rsidRPr="00294F8E">
        <w:rPr>
          <w:lang w:val="it-IT"/>
        </w:rPr>
        <w:t>European</w:t>
      </w:r>
      <w:proofErr w:type="spellEnd"/>
      <w:r w:rsidRPr="00294F8E">
        <w:rPr>
          <w:lang w:val="it-IT"/>
        </w:rPr>
        <w:t xml:space="preserve"> Housing Trend Report 2024 offre un’analisi approfondita dei cambiamenti significativi che stanno influenzando il mercato abitativo europeo, esplorando come le pressioni finanziarie, le preferenze in evoluzione e le preoccupazioni legate alla sostenibilità stiano plasmando le decisioni abitative. I dati sono stati registrati da </w:t>
      </w:r>
      <w:proofErr w:type="spellStart"/>
      <w:r w:rsidRPr="00294F8E">
        <w:rPr>
          <w:lang w:val="it-IT"/>
        </w:rPr>
        <w:t>Opinium</w:t>
      </w:r>
      <w:proofErr w:type="spellEnd"/>
      <w:r w:rsidRPr="00294F8E">
        <w:rPr>
          <w:lang w:val="it-IT"/>
        </w:rPr>
        <w:t>, che ha intervistato 20.000 adulti nel Regno Unito, Francia, Germania, Austria, Bulgaria, Croazia, Repubblica Ceca, Finlandia, Grecia, Ungheria, Irlanda, Italia, Malta, Paesi Bassi, Polonia, Portogallo, Romania, Slovenia, Spagna, Svizzera e Turchia nel mese di agosto 2024.</w:t>
      </w:r>
    </w:p>
    <w:p w14:paraId="04CBE9AD" w14:textId="77777777" w:rsidR="00294F8E" w:rsidRDefault="00294F8E" w:rsidP="003001EB">
      <w:pPr>
        <w:jc w:val="both"/>
        <w:rPr>
          <w:lang w:val="it-IT"/>
        </w:rPr>
      </w:pPr>
    </w:p>
    <w:p w14:paraId="13EFCCD2" w14:textId="3DD08D5C" w:rsidR="00294F8E" w:rsidRDefault="00294F8E" w:rsidP="003001EB">
      <w:pPr>
        <w:jc w:val="both"/>
        <w:rPr>
          <w:lang w:val="it-IT"/>
        </w:rPr>
      </w:pPr>
      <w:r w:rsidRPr="00294F8E">
        <w:rPr>
          <w:b/>
          <w:bCs/>
          <w:lang w:val="it-IT"/>
        </w:rPr>
        <w:t>Nota:</w:t>
      </w:r>
      <w:r w:rsidRPr="00294F8E">
        <w:rPr>
          <w:lang w:val="it-IT"/>
        </w:rPr>
        <w:t xml:space="preserve"> I risultati presentati in questo report derivano da un ampio sondaggio sui consumatori condotto nell’agosto 2024. RE/MAX Europe non si assume alcuna responsabilità per eventuali sviluppi o modifiche che potrebbero essere avvenuti successivamente a tale data.</w:t>
      </w:r>
    </w:p>
    <w:p w14:paraId="73DD73D0" w14:textId="77777777" w:rsidR="00FD2FC0" w:rsidRPr="00294F8E" w:rsidRDefault="00FD2FC0" w:rsidP="003001EB">
      <w:pPr>
        <w:jc w:val="both"/>
        <w:rPr>
          <w:lang w:val="it-IT"/>
        </w:rPr>
      </w:pPr>
    </w:p>
    <w:p w14:paraId="59262D2F" w14:textId="77777777" w:rsidR="008E5D43" w:rsidRDefault="008E5D43" w:rsidP="008E5D43">
      <w:pPr>
        <w:jc w:val="both"/>
      </w:pPr>
    </w:p>
    <w:p w14:paraId="28A052BF" w14:textId="77777777" w:rsidR="008E5D43" w:rsidRDefault="008E5D43" w:rsidP="008E5D43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center"/>
        <w:rPr>
          <w:b/>
          <w:bCs/>
          <w:color w:val="DC1C2E"/>
          <w:sz w:val="24"/>
          <w:szCs w:val="24"/>
        </w:rPr>
      </w:pPr>
    </w:p>
    <w:p w14:paraId="299327BB" w14:textId="5C8F3855" w:rsidR="008E5D43" w:rsidRPr="00793D5D" w:rsidRDefault="008E5D43" w:rsidP="008E5D43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center"/>
        <w:rPr>
          <w:b/>
          <w:bCs/>
          <w:color w:val="DC1C2E"/>
          <w:sz w:val="28"/>
          <w:szCs w:val="28"/>
        </w:rPr>
      </w:pPr>
      <w:proofErr w:type="spellStart"/>
      <w:r w:rsidRPr="00793D5D">
        <w:rPr>
          <w:b/>
          <w:bCs/>
          <w:color w:val="DC1C2E"/>
          <w:sz w:val="28"/>
          <w:szCs w:val="28"/>
        </w:rPr>
        <w:t>Sfoglia</w:t>
      </w:r>
      <w:proofErr w:type="spellEnd"/>
      <w:r w:rsidRPr="00793D5D">
        <w:rPr>
          <w:b/>
          <w:bCs/>
          <w:color w:val="DC1C2E"/>
          <w:sz w:val="28"/>
          <w:szCs w:val="28"/>
        </w:rPr>
        <w:t xml:space="preserve"> e </w:t>
      </w:r>
      <w:proofErr w:type="spellStart"/>
      <w:r w:rsidRPr="00793D5D">
        <w:rPr>
          <w:b/>
          <w:bCs/>
          <w:color w:val="DC1C2E"/>
          <w:sz w:val="28"/>
          <w:szCs w:val="28"/>
        </w:rPr>
        <w:t>scarica</w:t>
      </w:r>
      <w:proofErr w:type="spellEnd"/>
      <w:r w:rsidRPr="00793D5D">
        <w:rPr>
          <w:b/>
          <w:bCs/>
          <w:color w:val="DC1C2E"/>
          <w:sz w:val="28"/>
          <w:szCs w:val="28"/>
        </w:rPr>
        <w:t xml:space="preserve"> </w:t>
      </w:r>
      <w:r w:rsidR="004A70AA" w:rsidRPr="00793D5D">
        <w:rPr>
          <w:b/>
          <w:bCs/>
          <w:color w:val="DC1C2E"/>
          <w:sz w:val="28"/>
          <w:szCs w:val="28"/>
        </w:rPr>
        <w:t xml:space="preserve">il </w:t>
      </w:r>
      <w:r w:rsidRPr="00793D5D">
        <w:rPr>
          <w:b/>
          <w:bCs/>
          <w:color w:val="DC1C2E"/>
          <w:sz w:val="28"/>
          <w:szCs w:val="28"/>
        </w:rPr>
        <w:t>RE/MAX European Housing Trend Report 2024:</w:t>
      </w:r>
    </w:p>
    <w:p w14:paraId="666A598A" w14:textId="6D83E91F" w:rsidR="008E5D43" w:rsidRPr="00793D5D" w:rsidRDefault="00F84BBF" w:rsidP="008E5D43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center"/>
        <w:rPr>
          <w:b/>
          <w:bCs/>
          <w:sz w:val="28"/>
          <w:szCs w:val="28"/>
        </w:rPr>
      </w:pPr>
      <w:hyperlink r:id="rId8" w:history="1">
        <w:r w:rsidRPr="00793D5D">
          <w:rPr>
            <w:rStyle w:val="Collegamentoipertestuale"/>
            <w:b/>
            <w:bCs/>
            <w:sz w:val="28"/>
            <w:szCs w:val="28"/>
          </w:rPr>
          <w:t>https://rem.ax/European_Housing_Trend_Report_2024</w:t>
        </w:r>
      </w:hyperlink>
    </w:p>
    <w:p w14:paraId="59B7C18B" w14:textId="77777777" w:rsidR="00F84BBF" w:rsidRPr="00F84BBF" w:rsidRDefault="00F84BBF" w:rsidP="008E5D43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center"/>
        <w:rPr>
          <w:b/>
          <w:bCs/>
          <w:sz w:val="28"/>
          <w:szCs w:val="28"/>
        </w:rPr>
      </w:pPr>
    </w:p>
    <w:p w14:paraId="18F9E152" w14:textId="77777777" w:rsidR="008E5D43" w:rsidRDefault="008E5D43" w:rsidP="008E5D43">
      <w:pPr>
        <w:jc w:val="both"/>
        <w:rPr>
          <w:b/>
          <w:color w:val="004A99"/>
        </w:rPr>
      </w:pPr>
    </w:p>
    <w:p w14:paraId="3F50AD91" w14:textId="77777777" w:rsidR="008E5D43" w:rsidRPr="00F84BBF" w:rsidRDefault="008E5D43" w:rsidP="008E5D43">
      <w:pPr>
        <w:rPr>
          <w:b/>
          <w:color w:val="004A99"/>
          <w:kern w:val="2"/>
          <w14:ligatures w14:val="standardContextual"/>
        </w:rPr>
      </w:pPr>
    </w:p>
    <w:p w14:paraId="6462499F" w14:textId="40BA51E6" w:rsidR="008E5D43" w:rsidRPr="004A70AA" w:rsidRDefault="008E5D43" w:rsidP="00B86743">
      <w:pPr>
        <w:rPr>
          <w:sz w:val="22"/>
          <w:szCs w:val="22"/>
        </w:rPr>
      </w:pPr>
      <w:r w:rsidRPr="004A70AA">
        <w:rPr>
          <w:b/>
          <w:color w:val="004A99"/>
          <w:kern w:val="2"/>
          <w:sz w:val="22"/>
          <w:szCs w:val="22"/>
          <w:lang w:val="it-IT"/>
          <w14:ligatures w14:val="standardContextual"/>
        </w:rPr>
        <w:t>COMPANY</w:t>
      </w:r>
      <w:r w:rsidR="004A70AA" w:rsidRPr="004A70AA">
        <w:rPr>
          <w:b/>
          <w:color w:val="004A99"/>
          <w:kern w:val="2"/>
          <w:sz w:val="22"/>
          <w:szCs w:val="22"/>
          <w:lang w:val="it-IT"/>
          <w14:ligatures w14:val="standardContextual"/>
        </w:rPr>
        <w:t xml:space="preserve"> </w:t>
      </w:r>
      <w:r w:rsidRPr="004A70AA">
        <w:rPr>
          <w:b/>
          <w:color w:val="004A99"/>
          <w:kern w:val="2"/>
          <w:sz w:val="22"/>
          <w:szCs w:val="22"/>
          <w:lang w:val="it-IT"/>
          <w14:ligatures w14:val="standardContextual"/>
        </w:rPr>
        <w:t>PROFILE RE/MAX ITALIA –</w:t>
      </w:r>
      <w:r w:rsidR="004A70AA" w:rsidRPr="004A70AA">
        <w:rPr>
          <w:b/>
          <w:color w:val="004A99"/>
          <w:kern w:val="2"/>
          <w:sz w:val="22"/>
          <w:szCs w:val="22"/>
          <w:lang w:val="it-IT"/>
          <w14:ligatures w14:val="standardContextual"/>
        </w:rPr>
        <w:t xml:space="preserve"> </w:t>
      </w:r>
      <w:hyperlink r:id="rId9" w:tgtFrame="_blank" w:history="1">
        <w:r w:rsidRPr="004A70AA">
          <w:rPr>
            <w:color w:val="004A99"/>
            <w:kern w:val="2"/>
            <w:sz w:val="22"/>
            <w:szCs w:val="22"/>
            <w:lang w:val="it-IT"/>
            <w14:ligatures w14:val="standardContextual"/>
          </w:rPr>
          <w:t>remax.it</w:t>
        </w:r>
      </w:hyperlink>
      <w:bookmarkStart w:id="0" w:name="m_-3997512797049620921__Hlk176446127"/>
      <w:bookmarkEnd w:id="0"/>
    </w:p>
    <w:p w14:paraId="37969BE3" w14:textId="77777777" w:rsidR="003E5999" w:rsidRDefault="003E5999" w:rsidP="003E5999">
      <w:pPr>
        <w:jc w:val="both"/>
      </w:pPr>
      <w:proofErr w:type="spellStart"/>
      <w:r w:rsidRPr="00736370">
        <w:t>Fondata</w:t>
      </w:r>
      <w:proofErr w:type="spellEnd"/>
      <w:r w:rsidRPr="00736370">
        <w:t xml:space="preserve"> </w:t>
      </w:r>
      <w:proofErr w:type="spellStart"/>
      <w:r w:rsidRPr="00736370">
        <w:t>negli</w:t>
      </w:r>
      <w:proofErr w:type="spellEnd"/>
      <w:r w:rsidRPr="00736370">
        <w:t xml:space="preserve"> Stati </w:t>
      </w:r>
      <w:proofErr w:type="spellStart"/>
      <w:r w:rsidRPr="00736370">
        <w:t>Uniti</w:t>
      </w:r>
      <w:proofErr w:type="spellEnd"/>
      <w:r w:rsidRPr="00736370">
        <w:t xml:space="preserve"> </w:t>
      </w:r>
      <w:proofErr w:type="spellStart"/>
      <w:r w:rsidRPr="00736370">
        <w:t>nel</w:t>
      </w:r>
      <w:proofErr w:type="spellEnd"/>
      <w:r w:rsidRPr="00736370">
        <w:t xml:space="preserve"> 1973 da Dave e Gail Liniger, RE/MAX </w:t>
      </w:r>
      <w:proofErr w:type="spellStart"/>
      <w:r w:rsidRPr="00736370">
        <w:t>arriva</w:t>
      </w:r>
      <w:proofErr w:type="spellEnd"/>
      <w:r w:rsidRPr="00736370">
        <w:t xml:space="preserve"> in Italia </w:t>
      </w:r>
      <w:proofErr w:type="spellStart"/>
      <w:r w:rsidRPr="00736370">
        <w:t>nel</w:t>
      </w:r>
      <w:proofErr w:type="spellEnd"/>
      <w:r w:rsidRPr="00736370">
        <w:t xml:space="preserve"> 1996 </w:t>
      </w:r>
      <w:proofErr w:type="spellStart"/>
      <w:r w:rsidRPr="00736370">
        <w:t>grazie</w:t>
      </w:r>
      <w:proofErr w:type="spellEnd"/>
      <w:r w:rsidRPr="00736370">
        <w:t xml:space="preserve"> </w:t>
      </w:r>
      <w:proofErr w:type="spellStart"/>
      <w:r w:rsidRPr="00736370">
        <w:t>alla</w:t>
      </w:r>
      <w:proofErr w:type="spellEnd"/>
      <w:r w:rsidRPr="00736370">
        <w:t xml:space="preserve"> </w:t>
      </w:r>
      <w:proofErr w:type="spellStart"/>
      <w:r w:rsidRPr="00736370">
        <w:t>lungimirante</w:t>
      </w:r>
      <w:proofErr w:type="spellEnd"/>
      <w:r w:rsidRPr="00736370">
        <w:t xml:space="preserve"> </w:t>
      </w:r>
      <w:proofErr w:type="spellStart"/>
      <w:r w:rsidRPr="00736370">
        <w:t>visione</w:t>
      </w:r>
      <w:proofErr w:type="spellEnd"/>
      <w:r w:rsidRPr="00736370">
        <w:t xml:space="preserve"> di Dario Castiglia, </w:t>
      </w:r>
      <w:proofErr w:type="spellStart"/>
      <w:r w:rsidRPr="00736370">
        <w:t>tutt’oggi</w:t>
      </w:r>
      <w:proofErr w:type="spellEnd"/>
      <w:r w:rsidRPr="00736370">
        <w:t xml:space="preserve"> </w:t>
      </w:r>
      <w:proofErr w:type="spellStart"/>
      <w:r w:rsidRPr="00736370">
        <w:t>alla</w:t>
      </w:r>
      <w:proofErr w:type="spellEnd"/>
      <w:r w:rsidRPr="00736370">
        <w:t xml:space="preserve"> </w:t>
      </w:r>
      <w:proofErr w:type="spellStart"/>
      <w:r w:rsidRPr="00736370">
        <w:t>guida</w:t>
      </w:r>
      <w:proofErr w:type="spellEnd"/>
      <w:r w:rsidRPr="00736370">
        <w:t xml:space="preserve"> del network </w:t>
      </w:r>
      <w:proofErr w:type="spellStart"/>
      <w:r w:rsidRPr="00736370">
        <w:t>immobiliare</w:t>
      </w:r>
      <w:proofErr w:type="spellEnd"/>
      <w:r w:rsidRPr="00736370">
        <w:t xml:space="preserve">. Anno dopo anno, RE/MAX </w:t>
      </w:r>
      <w:proofErr w:type="spellStart"/>
      <w:r w:rsidRPr="00736370">
        <w:t>consolida</w:t>
      </w:r>
      <w:proofErr w:type="spellEnd"/>
      <w:r w:rsidRPr="00736370">
        <w:t xml:space="preserve"> la propria </w:t>
      </w:r>
      <w:r w:rsidRPr="00736370">
        <w:lastRenderedPageBreak/>
        <w:t xml:space="preserve">leadership a </w:t>
      </w:r>
      <w:proofErr w:type="spellStart"/>
      <w:r w:rsidRPr="00736370">
        <w:t>livello</w:t>
      </w:r>
      <w:proofErr w:type="spellEnd"/>
      <w:r w:rsidRPr="00736370">
        <w:t xml:space="preserve"> </w:t>
      </w:r>
      <w:proofErr w:type="spellStart"/>
      <w:r w:rsidRPr="00736370">
        <w:t>mondiale</w:t>
      </w:r>
      <w:proofErr w:type="spellEnd"/>
      <w:r w:rsidRPr="00736370">
        <w:t xml:space="preserve">, operando </w:t>
      </w:r>
      <w:proofErr w:type="spellStart"/>
      <w:r w:rsidRPr="00736370">
        <w:t>oggi</w:t>
      </w:r>
      <w:proofErr w:type="spellEnd"/>
      <w:r w:rsidRPr="00736370">
        <w:t xml:space="preserve"> in </w:t>
      </w:r>
      <w:proofErr w:type="spellStart"/>
      <w:r w:rsidRPr="00736370">
        <w:t>oltre</w:t>
      </w:r>
      <w:proofErr w:type="spellEnd"/>
      <w:r w:rsidRPr="00736370">
        <w:t xml:space="preserve"> 110 </w:t>
      </w:r>
      <w:proofErr w:type="spellStart"/>
      <w:r w:rsidRPr="00736370">
        <w:t>Paesi</w:t>
      </w:r>
      <w:proofErr w:type="spellEnd"/>
      <w:r w:rsidRPr="00736370">
        <w:t xml:space="preserve"> con </w:t>
      </w:r>
      <w:proofErr w:type="spellStart"/>
      <w:r w:rsidRPr="00736370">
        <w:t>oltre</w:t>
      </w:r>
      <w:proofErr w:type="spellEnd"/>
      <w:r w:rsidRPr="00736370">
        <w:t xml:space="preserve"> 9.400 </w:t>
      </w:r>
      <w:proofErr w:type="spellStart"/>
      <w:r w:rsidRPr="00736370">
        <w:t>agenzie</w:t>
      </w:r>
      <w:proofErr w:type="spellEnd"/>
      <w:r w:rsidRPr="00736370">
        <w:t xml:space="preserve"> e quasi 145.000 </w:t>
      </w:r>
      <w:proofErr w:type="spellStart"/>
      <w:r w:rsidRPr="00736370">
        <w:t>agenti</w:t>
      </w:r>
      <w:proofErr w:type="spellEnd"/>
      <w:r w:rsidRPr="00736370">
        <w:t xml:space="preserve"> </w:t>
      </w:r>
      <w:proofErr w:type="spellStart"/>
      <w:r w:rsidRPr="00736370">
        <w:t>affiliati</w:t>
      </w:r>
      <w:proofErr w:type="spellEnd"/>
      <w:r w:rsidRPr="00736370">
        <w:t xml:space="preserve">. Il </w:t>
      </w:r>
      <w:proofErr w:type="spellStart"/>
      <w:r w:rsidRPr="00736370">
        <w:t>suo</w:t>
      </w:r>
      <w:proofErr w:type="spellEnd"/>
      <w:r w:rsidRPr="00736370">
        <w:t xml:space="preserve"> </w:t>
      </w:r>
      <w:proofErr w:type="spellStart"/>
      <w:r w:rsidRPr="00736370">
        <w:t>esclusivo</w:t>
      </w:r>
      <w:proofErr w:type="spellEnd"/>
      <w:r w:rsidRPr="00736370">
        <w:t xml:space="preserve"> </w:t>
      </w:r>
      <w:proofErr w:type="spellStart"/>
      <w:r w:rsidRPr="00736370">
        <w:t>modello</w:t>
      </w:r>
      <w:proofErr w:type="spellEnd"/>
      <w:r w:rsidRPr="00736370">
        <w:t xml:space="preserve"> di business </w:t>
      </w:r>
      <w:proofErr w:type="spellStart"/>
      <w:r w:rsidRPr="00736370">
        <w:t>si</w:t>
      </w:r>
      <w:proofErr w:type="spellEnd"/>
      <w:r w:rsidRPr="00736370">
        <w:t xml:space="preserve"> </w:t>
      </w:r>
      <w:proofErr w:type="spellStart"/>
      <w:r w:rsidRPr="00736370">
        <w:t>basa</w:t>
      </w:r>
      <w:proofErr w:type="spellEnd"/>
      <w:r w:rsidRPr="00736370">
        <w:t xml:space="preserve"> </w:t>
      </w:r>
      <w:proofErr w:type="spellStart"/>
      <w:r w:rsidRPr="00736370">
        <w:t>sullo</w:t>
      </w:r>
      <w:proofErr w:type="spellEnd"/>
      <w:r w:rsidRPr="00736370">
        <w:t xml:space="preserve"> studio </w:t>
      </w:r>
      <w:proofErr w:type="spellStart"/>
      <w:r w:rsidRPr="00736370">
        <w:t>associato</w:t>
      </w:r>
      <w:proofErr w:type="spellEnd"/>
      <w:r w:rsidRPr="00736370">
        <w:t xml:space="preserve">, </w:t>
      </w:r>
      <w:proofErr w:type="spellStart"/>
      <w:r w:rsidRPr="00736370">
        <w:t>che</w:t>
      </w:r>
      <w:proofErr w:type="spellEnd"/>
      <w:r w:rsidRPr="00736370">
        <w:t xml:space="preserve"> </w:t>
      </w:r>
      <w:proofErr w:type="spellStart"/>
      <w:r w:rsidRPr="00736370">
        <w:t>massimizza</w:t>
      </w:r>
      <w:proofErr w:type="spellEnd"/>
      <w:r w:rsidRPr="00736370">
        <w:t xml:space="preserve"> le </w:t>
      </w:r>
      <w:proofErr w:type="spellStart"/>
      <w:r w:rsidRPr="00736370">
        <w:t>opportunità</w:t>
      </w:r>
      <w:proofErr w:type="spellEnd"/>
      <w:r w:rsidRPr="00736370">
        <w:t xml:space="preserve"> </w:t>
      </w:r>
      <w:proofErr w:type="spellStart"/>
      <w:r w:rsidRPr="00736370">
        <w:t>offerte</w:t>
      </w:r>
      <w:proofErr w:type="spellEnd"/>
      <w:r w:rsidRPr="00736370">
        <w:t xml:space="preserve"> dal </w:t>
      </w:r>
      <w:proofErr w:type="spellStart"/>
      <w:r w:rsidRPr="00736370">
        <w:t>settore</w:t>
      </w:r>
      <w:proofErr w:type="spellEnd"/>
      <w:r w:rsidRPr="00736370">
        <w:t xml:space="preserve"> </w:t>
      </w:r>
      <w:proofErr w:type="spellStart"/>
      <w:r w:rsidRPr="00736370">
        <w:t>immobiliare</w:t>
      </w:r>
      <w:proofErr w:type="spellEnd"/>
      <w:r w:rsidRPr="00736370">
        <w:t xml:space="preserve">. Un </w:t>
      </w:r>
      <w:proofErr w:type="spellStart"/>
      <w:r w:rsidRPr="00736370">
        <w:t>sistema</w:t>
      </w:r>
      <w:proofErr w:type="spellEnd"/>
      <w:r w:rsidRPr="00736370">
        <w:t xml:space="preserve"> </w:t>
      </w:r>
      <w:proofErr w:type="spellStart"/>
      <w:r w:rsidRPr="00736370">
        <w:t>rivoluzionario</w:t>
      </w:r>
      <w:proofErr w:type="spellEnd"/>
      <w:r w:rsidRPr="00736370">
        <w:t xml:space="preserve"> </w:t>
      </w:r>
      <w:proofErr w:type="spellStart"/>
      <w:r w:rsidRPr="00736370">
        <w:t>fondato</w:t>
      </w:r>
      <w:proofErr w:type="spellEnd"/>
      <w:r w:rsidRPr="00736370">
        <w:t xml:space="preserve"> </w:t>
      </w:r>
      <w:proofErr w:type="spellStart"/>
      <w:r w:rsidRPr="00736370">
        <w:t>su</w:t>
      </w:r>
      <w:proofErr w:type="spellEnd"/>
      <w:r w:rsidRPr="00736370">
        <w:t xml:space="preserve"> un </w:t>
      </w:r>
      <w:proofErr w:type="spellStart"/>
      <w:r w:rsidRPr="00736370">
        <w:t>metodo</w:t>
      </w:r>
      <w:proofErr w:type="spellEnd"/>
      <w:r w:rsidRPr="00736370">
        <w:t xml:space="preserve"> di </w:t>
      </w:r>
      <w:proofErr w:type="spellStart"/>
      <w:r w:rsidRPr="00736370">
        <w:t>collaborazione</w:t>
      </w:r>
      <w:proofErr w:type="spellEnd"/>
      <w:r w:rsidRPr="00736370">
        <w:t xml:space="preserve"> </w:t>
      </w:r>
      <w:proofErr w:type="spellStart"/>
      <w:r w:rsidRPr="00736370">
        <w:t>che</w:t>
      </w:r>
      <w:proofErr w:type="spellEnd"/>
      <w:r w:rsidRPr="00736370">
        <w:t xml:space="preserve"> </w:t>
      </w:r>
      <w:proofErr w:type="spellStart"/>
      <w:r w:rsidRPr="00736370">
        <w:t>permette</w:t>
      </w:r>
      <w:proofErr w:type="spellEnd"/>
      <w:r w:rsidRPr="00736370">
        <w:t xml:space="preserve"> di </w:t>
      </w:r>
      <w:proofErr w:type="spellStart"/>
      <w:r w:rsidRPr="00736370">
        <w:t>aumentare</w:t>
      </w:r>
      <w:proofErr w:type="spellEnd"/>
      <w:r w:rsidRPr="00736370">
        <w:t xml:space="preserve"> la </w:t>
      </w:r>
      <w:proofErr w:type="spellStart"/>
      <w:r w:rsidRPr="00736370">
        <w:t>produttività</w:t>
      </w:r>
      <w:proofErr w:type="spellEnd"/>
      <w:r w:rsidRPr="00736370">
        <w:t xml:space="preserve"> </w:t>
      </w:r>
      <w:proofErr w:type="spellStart"/>
      <w:r w:rsidRPr="00736370">
        <w:t>degli</w:t>
      </w:r>
      <w:proofErr w:type="spellEnd"/>
      <w:r w:rsidRPr="00736370">
        <w:t xml:space="preserve"> </w:t>
      </w:r>
      <w:proofErr w:type="spellStart"/>
      <w:r w:rsidRPr="00736370">
        <w:t>agenti</w:t>
      </w:r>
      <w:proofErr w:type="spellEnd"/>
      <w:r w:rsidRPr="00736370">
        <w:t xml:space="preserve">, </w:t>
      </w:r>
      <w:proofErr w:type="spellStart"/>
      <w:r w:rsidRPr="00736370">
        <w:t>offrire</w:t>
      </w:r>
      <w:proofErr w:type="spellEnd"/>
      <w:r w:rsidRPr="00736370">
        <w:t xml:space="preserve"> un </w:t>
      </w:r>
      <w:proofErr w:type="spellStart"/>
      <w:r w:rsidRPr="00736370">
        <w:t>servizio</w:t>
      </w:r>
      <w:proofErr w:type="spellEnd"/>
      <w:r w:rsidRPr="00736370">
        <w:t xml:space="preserve"> di </w:t>
      </w:r>
      <w:proofErr w:type="spellStart"/>
      <w:r w:rsidRPr="00736370">
        <w:t>qualità</w:t>
      </w:r>
      <w:proofErr w:type="spellEnd"/>
      <w:r w:rsidRPr="00736370">
        <w:t xml:space="preserve"> </w:t>
      </w:r>
      <w:proofErr w:type="spellStart"/>
      <w:r w:rsidRPr="00736370">
        <w:t>superiore</w:t>
      </w:r>
      <w:proofErr w:type="spellEnd"/>
      <w:r w:rsidRPr="00736370">
        <w:t xml:space="preserve"> ai </w:t>
      </w:r>
      <w:proofErr w:type="spellStart"/>
      <w:r w:rsidRPr="00736370">
        <w:t>clienti</w:t>
      </w:r>
      <w:proofErr w:type="spellEnd"/>
      <w:r w:rsidRPr="00736370">
        <w:t xml:space="preserve"> e </w:t>
      </w:r>
      <w:proofErr w:type="spellStart"/>
      <w:r w:rsidRPr="00736370">
        <w:t>potenziare</w:t>
      </w:r>
      <w:proofErr w:type="spellEnd"/>
      <w:r w:rsidRPr="00736370">
        <w:t xml:space="preserve"> il </w:t>
      </w:r>
      <w:proofErr w:type="spellStart"/>
      <w:r w:rsidRPr="00736370">
        <w:t>giro</w:t>
      </w:r>
      <w:proofErr w:type="spellEnd"/>
      <w:r w:rsidRPr="00736370">
        <w:t xml:space="preserve"> </w:t>
      </w:r>
      <w:proofErr w:type="spellStart"/>
      <w:r w:rsidRPr="00736370">
        <w:t>d’affari</w:t>
      </w:r>
      <w:proofErr w:type="spellEnd"/>
      <w:r w:rsidRPr="00736370">
        <w:t xml:space="preserve"> </w:t>
      </w:r>
      <w:proofErr w:type="spellStart"/>
      <w:r w:rsidRPr="00736370">
        <w:t>delle</w:t>
      </w:r>
      <w:proofErr w:type="spellEnd"/>
      <w:r w:rsidRPr="00736370">
        <w:t xml:space="preserve"> </w:t>
      </w:r>
      <w:proofErr w:type="spellStart"/>
      <w:r w:rsidRPr="00736370">
        <w:t>agenzie</w:t>
      </w:r>
      <w:proofErr w:type="spellEnd"/>
      <w:r w:rsidRPr="00736370">
        <w:t xml:space="preserve"> </w:t>
      </w:r>
      <w:proofErr w:type="spellStart"/>
      <w:r w:rsidRPr="00736370">
        <w:t>immobiliari</w:t>
      </w:r>
      <w:proofErr w:type="spellEnd"/>
      <w:r w:rsidRPr="00736370">
        <w:t xml:space="preserve">. Massima </w:t>
      </w:r>
      <w:proofErr w:type="spellStart"/>
      <w:r w:rsidRPr="00736370">
        <w:t>produttività</w:t>
      </w:r>
      <w:proofErr w:type="spellEnd"/>
      <w:r w:rsidRPr="00736370">
        <w:t xml:space="preserve">, </w:t>
      </w:r>
      <w:proofErr w:type="spellStart"/>
      <w:r w:rsidRPr="00736370">
        <w:t>massima</w:t>
      </w:r>
      <w:proofErr w:type="spellEnd"/>
      <w:r w:rsidRPr="00736370">
        <w:t xml:space="preserve"> </w:t>
      </w:r>
      <w:proofErr w:type="spellStart"/>
      <w:r w:rsidRPr="00736370">
        <w:t>innovazione</w:t>
      </w:r>
      <w:proofErr w:type="spellEnd"/>
      <w:r w:rsidRPr="00736370">
        <w:t xml:space="preserve">, </w:t>
      </w:r>
      <w:proofErr w:type="spellStart"/>
      <w:r w:rsidRPr="00736370">
        <w:t>massima</w:t>
      </w:r>
      <w:proofErr w:type="spellEnd"/>
      <w:r w:rsidRPr="00736370">
        <w:t xml:space="preserve"> </w:t>
      </w:r>
      <w:proofErr w:type="spellStart"/>
      <w:r w:rsidRPr="00736370">
        <w:t>redditività</w:t>
      </w:r>
      <w:proofErr w:type="spellEnd"/>
      <w:r w:rsidRPr="00736370">
        <w:t xml:space="preserve">: in </w:t>
      </w:r>
      <w:proofErr w:type="spellStart"/>
      <w:r w:rsidRPr="00736370">
        <w:t>una</w:t>
      </w:r>
      <w:proofErr w:type="spellEnd"/>
      <w:r w:rsidRPr="00736370">
        <w:t xml:space="preserve"> </w:t>
      </w:r>
      <w:proofErr w:type="spellStart"/>
      <w:r w:rsidRPr="00736370">
        <w:t>parola</w:t>
      </w:r>
      <w:proofErr w:type="spellEnd"/>
      <w:r w:rsidRPr="00736370">
        <w:t xml:space="preserve"> RE/MAX. Nel 2025, </w:t>
      </w:r>
      <w:proofErr w:type="spellStart"/>
      <w:r w:rsidRPr="00736370">
        <w:t>l’obiettivo</w:t>
      </w:r>
      <w:proofErr w:type="spellEnd"/>
      <w:r w:rsidRPr="00736370">
        <w:t xml:space="preserve"> di RE/MAX Italia è </w:t>
      </w:r>
      <w:proofErr w:type="spellStart"/>
      <w:r w:rsidRPr="00736370">
        <w:t>continuare</w:t>
      </w:r>
      <w:proofErr w:type="spellEnd"/>
      <w:r w:rsidRPr="00736370">
        <w:t xml:space="preserve"> a </w:t>
      </w:r>
      <w:proofErr w:type="spellStart"/>
      <w:r w:rsidRPr="00736370">
        <w:t>crescere</w:t>
      </w:r>
      <w:proofErr w:type="spellEnd"/>
      <w:r w:rsidRPr="00736370">
        <w:t xml:space="preserve"> in termini di </w:t>
      </w:r>
      <w:proofErr w:type="spellStart"/>
      <w:r w:rsidRPr="00736370">
        <w:t>fatturato</w:t>
      </w:r>
      <w:proofErr w:type="spellEnd"/>
      <w:r w:rsidRPr="00736370">
        <w:t xml:space="preserve"> e </w:t>
      </w:r>
      <w:proofErr w:type="spellStart"/>
      <w:r w:rsidRPr="00736370">
        <w:t>ampliare</w:t>
      </w:r>
      <w:proofErr w:type="spellEnd"/>
      <w:r w:rsidRPr="00736370">
        <w:t xml:space="preserve"> il network. La </w:t>
      </w:r>
      <w:proofErr w:type="spellStart"/>
      <w:r w:rsidRPr="00736370">
        <w:t>promessa</w:t>
      </w:r>
      <w:proofErr w:type="spellEnd"/>
      <w:r w:rsidRPr="00736370">
        <w:t xml:space="preserve"> al </w:t>
      </w:r>
      <w:proofErr w:type="spellStart"/>
      <w:r w:rsidRPr="00736370">
        <w:t>cliente</w:t>
      </w:r>
      <w:proofErr w:type="spellEnd"/>
      <w:r w:rsidRPr="00736370">
        <w:t xml:space="preserve"> è di </w:t>
      </w:r>
      <w:proofErr w:type="spellStart"/>
      <w:r w:rsidRPr="00736370">
        <w:t>trovare</w:t>
      </w:r>
      <w:proofErr w:type="spellEnd"/>
      <w:r w:rsidRPr="00736370">
        <w:t xml:space="preserve"> il </w:t>
      </w:r>
      <w:proofErr w:type="spellStart"/>
      <w:r w:rsidRPr="00736370">
        <w:t>miglior</w:t>
      </w:r>
      <w:proofErr w:type="spellEnd"/>
      <w:r w:rsidRPr="00736370">
        <w:t xml:space="preserve"> </w:t>
      </w:r>
      <w:proofErr w:type="spellStart"/>
      <w:r w:rsidRPr="00736370">
        <w:t>acquirente</w:t>
      </w:r>
      <w:proofErr w:type="spellEnd"/>
      <w:r w:rsidRPr="00736370">
        <w:t xml:space="preserve"> </w:t>
      </w:r>
      <w:proofErr w:type="spellStart"/>
      <w:r w:rsidRPr="00736370">
        <w:t>nel</w:t>
      </w:r>
      <w:proofErr w:type="spellEnd"/>
      <w:r w:rsidRPr="00736370">
        <w:t xml:space="preserve"> minor tempo </w:t>
      </w:r>
      <w:proofErr w:type="spellStart"/>
      <w:r w:rsidRPr="00736370">
        <w:t>possibile</w:t>
      </w:r>
      <w:proofErr w:type="spellEnd"/>
      <w:r w:rsidRPr="00736370">
        <w:t xml:space="preserve">, </w:t>
      </w:r>
      <w:proofErr w:type="spellStart"/>
      <w:r w:rsidRPr="00736370">
        <w:t>garantendo</w:t>
      </w:r>
      <w:proofErr w:type="spellEnd"/>
      <w:r w:rsidRPr="00736370">
        <w:t xml:space="preserve"> </w:t>
      </w:r>
      <w:proofErr w:type="spellStart"/>
      <w:r w:rsidRPr="00736370">
        <w:t>un’esperienza</w:t>
      </w:r>
      <w:proofErr w:type="spellEnd"/>
      <w:r w:rsidRPr="00736370">
        <w:t xml:space="preserve"> </w:t>
      </w:r>
      <w:proofErr w:type="spellStart"/>
      <w:r w:rsidRPr="00736370">
        <w:t>confortevole</w:t>
      </w:r>
      <w:proofErr w:type="spellEnd"/>
      <w:r w:rsidRPr="00736370">
        <w:t xml:space="preserve"> e </w:t>
      </w:r>
      <w:proofErr w:type="spellStart"/>
      <w:r w:rsidRPr="00736370">
        <w:t>soddisfacente</w:t>
      </w:r>
      <w:proofErr w:type="spellEnd"/>
      <w:r w:rsidRPr="00736370">
        <w:t xml:space="preserve"> </w:t>
      </w:r>
      <w:proofErr w:type="spellStart"/>
      <w:r w:rsidRPr="00736370">
        <w:t>anche</w:t>
      </w:r>
      <w:proofErr w:type="spellEnd"/>
      <w:r w:rsidRPr="00736370">
        <w:t xml:space="preserve"> sotto il </w:t>
      </w:r>
      <w:proofErr w:type="spellStart"/>
      <w:r w:rsidRPr="00736370">
        <w:t>profilo</w:t>
      </w:r>
      <w:proofErr w:type="spellEnd"/>
      <w:r w:rsidRPr="00736370">
        <w:t xml:space="preserve"> </w:t>
      </w:r>
      <w:proofErr w:type="spellStart"/>
      <w:r w:rsidRPr="00736370">
        <w:t>economico</w:t>
      </w:r>
      <w:proofErr w:type="spellEnd"/>
      <w:r w:rsidRPr="00736370">
        <w:t xml:space="preserve">. RE/MAX Italia è Official Partner </w:t>
      </w:r>
      <w:proofErr w:type="spellStart"/>
      <w:r w:rsidRPr="00736370">
        <w:t>della</w:t>
      </w:r>
      <w:proofErr w:type="spellEnd"/>
      <w:r w:rsidRPr="00736370">
        <w:t xml:space="preserve"> Nazionale </w:t>
      </w:r>
      <w:proofErr w:type="spellStart"/>
      <w:r w:rsidRPr="00736370">
        <w:t>Italiana</w:t>
      </w:r>
      <w:proofErr w:type="spellEnd"/>
      <w:r w:rsidRPr="00736370">
        <w:t xml:space="preserve"> di Calcio, </w:t>
      </w:r>
      <w:proofErr w:type="spellStart"/>
      <w:r w:rsidRPr="00736370">
        <w:t>una</w:t>
      </w:r>
      <w:proofErr w:type="spellEnd"/>
      <w:r w:rsidRPr="00736370">
        <w:t xml:space="preserve"> </w:t>
      </w:r>
      <w:proofErr w:type="spellStart"/>
      <w:r w:rsidRPr="00736370">
        <w:t>collaborazione</w:t>
      </w:r>
      <w:proofErr w:type="spellEnd"/>
      <w:r w:rsidRPr="00736370">
        <w:t xml:space="preserve"> </w:t>
      </w:r>
      <w:proofErr w:type="spellStart"/>
      <w:r w:rsidRPr="00736370">
        <w:t>che</w:t>
      </w:r>
      <w:proofErr w:type="spellEnd"/>
      <w:r w:rsidRPr="00736370">
        <w:t xml:space="preserve"> </w:t>
      </w:r>
      <w:proofErr w:type="spellStart"/>
      <w:r w:rsidRPr="00736370">
        <w:t>si</w:t>
      </w:r>
      <w:proofErr w:type="spellEnd"/>
      <w:r w:rsidRPr="00736370">
        <w:t xml:space="preserve"> </w:t>
      </w:r>
      <w:proofErr w:type="spellStart"/>
      <w:r w:rsidRPr="00736370">
        <w:t>fonda</w:t>
      </w:r>
      <w:proofErr w:type="spellEnd"/>
      <w:r w:rsidRPr="00736370">
        <w:t xml:space="preserve"> </w:t>
      </w:r>
      <w:proofErr w:type="spellStart"/>
      <w:r w:rsidRPr="00736370">
        <w:t>su</w:t>
      </w:r>
      <w:proofErr w:type="spellEnd"/>
      <w:r w:rsidRPr="00736370">
        <w:t xml:space="preserve"> </w:t>
      </w:r>
      <w:proofErr w:type="spellStart"/>
      <w:r w:rsidRPr="00736370">
        <w:t>valori</w:t>
      </w:r>
      <w:proofErr w:type="spellEnd"/>
      <w:r w:rsidRPr="00736370">
        <w:t xml:space="preserve"> </w:t>
      </w:r>
      <w:proofErr w:type="spellStart"/>
      <w:r w:rsidRPr="00736370">
        <w:t>condivisi</w:t>
      </w:r>
      <w:proofErr w:type="spellEnd"/>
      <w:r w:rsidRPr="00736370">
        <w:t xml:space="preserve"> </w:t>
      </w:r>
      <w:proofErr w:type="spellStart"/>
      <w:r w:rsidRPr="00736370">
        <w:t>quali</w:t>
      </w:r>
      <w:proofErr w:type="spellEnd"/>
      <w:r w:rsidRPr="00736370">
        <w:t xml:space="preserve"> </w:t>
      </w:r>
      <w:proofErr w:type="spellStart"/>
      <w:r w:rsidRPr="00736370">
        <w:t>eccellenza</w:t>
      </w:r>
      <w:proofErr w:type="spellEnd"/>
      <w:r w:rsidRPr="00736370">
        <w:t xml:space="preserve">, </w:t>
      </w:r>
      <w:proofErr w:type="spellStart"/>
      <w:r w:rsidRPr="00736370">
        <w:t>passione</w:t>
      </w:r>
      <w:proofErr w:type="spellEnd"/>
      <w:r w:rsidRPr="00736370">
        <w:t xml:space="preserve"> e </w:t>
      </w:r>
      <w:proofErr w:type="spellStart"/>
      <w:r w:rsidRPr="00736370">
        <w:t>gioco</w:t>
      </w:r>
      <w:proofErr w:type="spellEnd"/>
      <w:r w:rsidRPr="00736370">
        <w:t xml:space="preserve"> di </w:t>
      </w:r>
      <w:proofErr w:type="spellStart"/>
      <w:r w:rsidRPr="00736370">
        <w:t>squadra</w:t>
      </w:r>
      <w:proofErr w:type="spellEnd"/>
      <w:r w:rsidRPr="00736370">
        <w:t xml:space="preserve">, </w:t>
      </w:r>
      <w:proofErr w:type="spellStart"/>
      <w:r w:rsidRPr="00736370">
        <w:t>essenziali</w:t>
      </w:r>
      <w:proofErr w:type="spellEnd"/>
      <w:r w:rsidRPr="00736370">
        <w:t xml:space="preserve"> tanto </w:t>
      </w:r>
      <w:proofErr w:type="spellStart"/>
      <w:r w:rsidRPr="00736370">
        <w:t>nello</w:t>
      </w:r>
      <w:proofErr w:type="spellEnd"/>
      <w:r w:rsidRPr="00736370">
        <w:t xml:space="preserve"> sport </w:t>
      </w:r>
      <w:proofErr w:type="spellStart"/>
      <w:r w:rsidRPr="00736370">
        <w:t>quanto</w:t>
      </w:r>
      <w:proofErr w:type="spellEnd"/>
      <w:r w:rsidRPr="00736370">
        <w:t xml:space="preserve"> </w:t>
      </w:r>
      <w:proofErr w:type="spellStart"/>
      <w:r w:rsidRPr="00736370">
        <w:t>nel</w:t>
      </w:r>
      <w:proofErr w:type="spellEnd"/>
      <w:r w:rsidRPr="00736370">
        <w:t xml:space="preserve"> real estate.</w:t>
      </w:r>
    </w:p>
    <w:p w14:paraId="27E713D4" w14:textId="77777777" w:rsidR="003E5999" w:rsidRDefault="003E5999" w:rsidP="003E5999">
      <w:pPr>
        <w:jc w:val="both"/>
      </w:pPr>
    </w:p>
    <w:p w14:paraId="66F086FA" w14:textId="77777777" w:rsidR="003E5999" w:rsidRDefault="003E5999" w:rsidP="003E5999">
      <w:pPr>
        <w:jc w:val="both"/>
      </w:pPr>
    </w:p>
    <w:p w14:paraId="2F1E34A9" w14:textId="77777777" w:rsidR="00294F8E" w:rsidRDefault="00294F8E" w:rsidP="008E5D43">
      <w:pPr>
        <w:ind w:left="266" w:hanging="266"/>
        <w:jc w:val="both"/>
        <w:rPr>
          <w:b/>
          <w:bCs/>
        </w:rPr>
      </w:pPr>
    </w:p>
    <w:p w14:paraId="68ED20EF" w14:textId="1E9098C4" w:rsidR="004A70AA" w:rsidRDefault="004A70AA" w:rsidP="004A70AA">
      <w:pPr>
        <w:keepNext/>
        <w:keepLines/>
        <w:spacing w:before="400"/>
        <w:jc w:val="both"/>
        <w:rPr>
          <w:b/>
          <w:color w:val="DC1C2E"/>
        </w:rPr>
      </w:pPr>
      <w:r>
        <w:rPr>
          <w:b/>
          <w:color w:val="DC1C2E"/>
        </w:rPr>
        <w:t xml:space="preserve">Pinkommunication </w:t>
      </w:r>
      <w:proofErr w:type="spellStart"/>
      <w:r>
        <w:rPr>
          <w:b/>
          <w:color w:val="DC1C2E"/>
        </w:rPr>
        <w:t>srl</w:t>
      </w:r>
      <w:proofErr w:type="spellEnd"/>
      <w:r>
        <w:rPr>
          <w:b/>
          <w:color w:val="DC1C2E"/>
        </w:rPr>
        <w:t xml:space="preserve"> - </w:t>
      </w:r>
      <w:proofErr w:type="spellStart"/>
      <w:r>
        <w:rPr>
          <w:b/>
          <w:color w:val="DC1C2E"/>
        </w:rPr>
        <w:t>Ufficio</w:t>
      </w:r>
      <w:proofErr w:type="spellEnd"/>
      <w:r>
        <w:rPr>
          <w:b/>
          <w:color w:val="DC1C2E"/>
        </w:rPr>
        <w:t xml:space="preserve"> </w:t>
      </w:r>
      <w:proofErr w:type="spellStart"/>
      <w:r>
        <w:rPr>
          <w:b/>
          <w:color w:val="DC1C2E"/>
        </w:rPr>
        <w:t>stampa</w:t>
      </w:r>
      <w:proofErr w:type="spellEnd"/>
      <w:r>
        <w:rPr>
          <w:b/>
          <w:color w:val="DC1C2E"/>
        </w:rPr>
        <w:t xml:space="preserve"> di RE/MAX Italia</w:t>
      </w:r>
    </w:p>
    <w:p w14:paraId="6C1562CA" w14:textId="77777777" w:rsidR="004A70AA" w:rsidRDefault="004A70AA" w:rsidP="004A70AA">
      <w:pPr>
        <w:jc w:val="both"/>
        <w:rPr>
          <w:color w:val="000000"/>
        </w:rPr>
      </w:pPr>
      <w:r>
        <w:rPr>
          <w:color w:val="000000"/>
        </w:rPr>
        <w:t xml:space="preserve">Cristina Cortellezzi – Laura Premoli – Claudia Valerani </w:t>
      </w:r>
    </w:p>
    <w:p w14:paraId="0B7BC3CA" w14:textId="77777777" w:rsidR="004A70AA" w:rsidRDefault="004A70AA" w:rsidP="004A70AA">
      <w:pPr>
        <w:jc w:val="both"/>
        <w:rPr>
          <w:color w:val="000000"/>
        </w:rPr>
      </w:pPr>
      <w:hyperlink r:id="rId10" w:history="1">
        <w:r>
          <w:rPr>
            <w:rStyle w:val="Collegamentoipertestuale"/>
          </w:rPr>
          <w:t>info@pinkommunication.it</w:t>
        </w:r>
      </w:hyperlink>
      <w:r>
        <w:rPr>
          <w:color w:val="000000"/>
        </w:rPr>
        <w:t xml:space="preserve"> </w:t>
      </w:r>
    </w:p>
    <w:p w14:paraId="2612DF25" w14:textId="77777777" w:rsidR="004A70AA" w:rsidRDefault="004A70AA" w:rsidP="004A70AA">
      <w:pPr>
        <w:jc w:val="both"/>
        <w:rPr>
          <w:color w:val="000000"/>
        </w:rPr>
      </w:pPr>
      <w:r>
        <w:rPr>
          <w:color w:val="000000"/>
        </w:rPr>
        <w:t>T. 02 89077160 – M. 340 1044227</w:t>
      </w:r>
    </w:p>
    <w:p w14:paraId="1CB86450" w14:textId="77777777" w:rsidR="004A70AA" w:rsidRPr="00294F8E" w:rsidRDefault="004A70AA" w:rsidP="008E5D43">
      <w:pPr>
        <w:ind w:left="266" w:hanging="266"/>
        <w:jc w:val="both"/>
        <w:rPr>
          <w:b/>
          <w:bCs/>
        </w:rPr>
      </w:pPr>
    </w:p>
    <w:sectPr w:rsidR="004A70AA" w:rsidRPr="00294F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08" w:right="851" w:bottom="1985" w:left="851" w:header="567" w:footer="7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FC7B" w14:textId="77777777" w:rsidR="00723D92" w:rsidRDefault="00723D92">
      <w:pPr>
        <w:spacing w:line="240" w:lineRule="auto"/>
      </w:pPr>
      <w:r>
        <w:separator/>
      </w:r>
    </w:p>
  </w:endnote>
  <w:endnote w:type="continuationSeparator" w:id="0">
    <w:p w14:paraId="4F020E90" w14:textId="77777777" w:rsidR="00723D92" w:rsidRDefault="00723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CCC2" w14:textId="77777777" w:rsidR="00736118" w:rsidRDefault="00736118">
    <w:pPr>
      <w:widowControl w:val="0"/>
      <w:pBdr>
        <w:top w:val="nil"/>
        <w:left w:val="nil"/>
        <w:bottom w:val="nil"/>
        <w:right w:val="nil"/>
        <w:between w:val="nil"/>
      </w:pBdr>
      <w:rPr>
        <w:color w:val="626366"/>
        <w:sz w:val="2"/>
        <w:szCs w:val="2"/>
      </w:rPr>
    </w:pPr>
  </w:p>
  <w:tbl>
    <w:tblPr>
      <w:tblStyle w:val="a1"/>
      <w:tblW w:w="10206" w:type="dxa"/>
      <w:tblInd w:w="8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74"/>
      <w:gridCol w:w="5832"/>
    </w:tblGrid>
    <w:tr w:rsidR="00736118" w14:paraId="4BFA6026" w14:textId="77777777">
      <w:tc>
        <w:tcPr>
          <w:tcW w:w="4374" w:type="dxa"/>
        </w:tcPr>
        <w:p w14:paraId="6040F1C3" w14:textId="77777777" w:rsidR="00736118" w:rsidRDefault="008F2D8C">
          <w:pPr>
            <w:spacing w:before="60" w:line="240" w:lineRule="auto"/>
          </w:pPr>
          <w:r>
            <w:rPr>
              <w:noProof/>
            </w:rPr>
            <w:drawing>
              <wp:inline distT="0" distB="0" distL="0" distR="0" wp14:anchorId="21FEE701" wp14:editId="4AF0D985">
                <wp:extent cx="1044000" cy="19265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000" cy="192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687A407" w14:textId="4CB6A859" w:rsidR="00736118" w:rsidRDefault="004A70AA">
          <w:pPr>
            <w:tabs>
              <w:tab w:val="right" w:pos="9923"/>
            </w:tabs>
            <w:spacing w:before="60" w:line="240" w:lineRule="auto"/>
            <w:rPr>
              <w:color w:val="007DC3"/>
              <w:sz w:val="27"/>
              <w:szCs w:val="27"/>
            </w:rPr>
          </w:pPr>
          <w:r>
            <w:rPr>
              <w:color w:val="DC1C2E"/>
              <w:sz w:val="27"/>
              <w:szCs w:val="27"/>
            </w:rPr>
            <w:t>Italia</w:t>
          </w:r>
        </w:p>
      </w:tc>
      <w:tc>
        <w:tcPr>
          <w:tcW w:w="5832" w:type="dxa"/>
          <w:vAlign w:val="bottom"/>
        </w:tcPr>
        <w:p w14:paraId="0CAC6063" w14:textId="77777777" w:rsidR="00736118" w:rsidRDefault="008F2D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right" w:pos="9561"/>
              <w:tab w:val="right" w:pos="9921"/>
            </w:tabs>
            <w:spacing w:after="60" w:line="240" w:lineRule="auto"/>
            <w:jc w:val="right"/>
            <w:rPr>
              <w:color w:val="003DA5"/>
              <w:sz w:val="13"/>
              <w:szCs w:val="13"/>
            </w:rPr>
          </w:pPr>
          <w:r>
            <w:rPr>
              <w:color w:val="003DA5"/>
              <w:sz w:val="13"/>
              <w:szCs w:val="13"/>
            </w:rPr>
            <w:fldChar w:fldCharType="begin"/>
          </w:r>
          <w:r>
            <w:rPr>
              <w:color w:val="003DA5"/>
              <w:sz w:val="13"/>
              <w:szCs w:val="13"/>
            </w:rPr>
            <w:instrText>PAGE</w:instrText>
          </w:r>
          <w:r>
            <w:rPr>
              <w:color w:val="003DA5"/>
              <w:sz w:val="13"/>
              <w:szCs w:val="13"/>
            </w:rPr>
            <w:fldChar w:fldCharType="separate"/>
          </w:r>
          <w:r w:rsidR="00A6249E">
            <w:rPr>
              <w:noProof/>
              <w:color w:val="003DA5"/>
              <w:sz w:val="13"/>
              <w:szCs w:val="13"/>
            </w:rPr>
            <w:t>2</w:t>
          </w:r>
          <w:r>
            <w:rPr>
              <w:color w:val="003DA5"/>
              <w:sz w:val="13"/>
              <w:szCs w:val="13"/>
            </w:rPr>
            <w:fldChar w:fldCharType="end"/>
          </w:r>
          <w:r>
            <w:rPr>
              <w:color w:val="003DA5"/>
              <w:sz w:val="13"/>
              <w:szCs w:val="13"/>
            </w:rPr>
            <w:t xml:space="preserve"> / </w:t>
          </w:r>
          <w:r>
            <w:rPr>
              <w:color w:val="003DA5"/>
              <w:sz w:val="13"/>
              <w:szCs w:val="13"/>
            </w:rPr>
            <w:fldChar w:fldCharType="begin"/>
          </w:r>
          <w:r>
            <w:rPr>
              <w:color w:val="003DA5"/>
              <w:sz w:val="13"/>
              <w:szCs w:val="13"/>
            </w:rPr>
            <w:instrText>NUMPAGES</w:instrText>
          </w:r>
          <w:r>
            <w:rPr>
              <w:color w:val="003DA5"/>
              <w:sz w:val="13"/>
              <w:szCs w:val="13"/>
            </w:rPr>
            <w:fldChar w:fldCharType="separate"/>
          </w:r>
          <w:r w:rsidR="00A6249E">
            <w:rPr>
              <w:noProof/>
              <w:color w:val="003DA5"/>
              <w:sz w:val="13"/>
              <w:szCs w:val="13"/>
            </w:rPr>
            <w:t>3</w:t>
          </w:r>
          <w:r>
            <w:rPr>
              <w:color w:val="003DA5"/>
              <w:sz w:val="13"/>
              <w:szCs w:val="13"/>
            </w:rPr>
            <w:fldChar w:fldCharType="end"/>
          </w:r>
        </w:p>
      </w:tc>
    </w:tr>
  </w:tbl>
  <w:p w14:paraId="5F4775C2" w14:textId="77777777" w:rsidR="00736118" w:rsidRDefault="00736118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626366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2638" w14:textId="77777777" w:rsidR="00736118" w:rsidRDefault="00736118">
    <w:pPr>
      <w:widowControl w:val="0"/>
      <w:pBdr>
        <w:top w:val="nil"/>
        <w:left w:val="nil"/>
        <w:bottom w:val="nil"/>
        <w:right w:val="nil"/>
        <w:between w:val="nil"/>
      </w:pBdr>
      <w:rPr>
        <w:b/>
        <w:smallCaps/>
        <w:color w:val="003DA5"/>
      </w:rPr>
    </w:pPr>
  </w:p>
  <w:tbl>
    <w:tblPr>
      <w:tblStyle w:val="a0"/>
      <w:tblW w:w="10206" w:type="dxa"/>
      <w:tblInd w:w="8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74"/>
      <w:gridCol w:w="5832"/>
    </w:tblGrid>
    <w:tr w:rsidR="00736118" w14:paraId="5D22DDE6" w14:textId="77777777">
      <w:tc>
        <w:tcPr>
          <w:tcW w:w="4374" w:type="dxa"/>
        </w:tcPr>
        <w:p w14:paraId="429B1121" w14:textId="77777777" w:rsidR="00736118" w:rsidRDefault="008F2D8C">
          <w:pPr>
            <w:spacing w:before="60" w:line="240" w:lineRule="auto"/>
          </w:pPr>
          <w:r>
            <w:rPr>
              <w:noProof/>
            </w:rPr>
            <w:drawing>
              <wp:inline distT="0" distB="0" distL="0" distR="0" wp14:anchorId="462483C3" wp14:editId="01DFB512">
                <wp:extent cx="1044000" cy="1926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000" cy="192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1ECF036" w14:textId="0423CC37" w:rsidR="00736118" w:rsidRDefault="00290FA5">
          <w:pPr>
            <w:tabs>
              <w:tab w:val="right" w:pos="9923"/>
            </w:tabs>
            <w:spacing w:before="60" w:line="240" w:lineRule="auto"/>
            <w:rPr>
              <w:color w:val="007DC3"/>
              <w:sz w:val="27"/>
              <w:szCs w:val="27"/>
            </w:rPr>
          </w:pPr>
          <w:r>
            <w:rPr>
              <w:color w:val="DC1C2E"/>
              <w:sz w:val="27"/>
              <w:szCs w:val="27"/>
            </w:rPr>
            <w:t>Italia</w:t>
          </w:r>
          <w:r w:rsidR="00060005">
            <w:rPr>
              <w:color w:val="DC1C2E"/>
              <w:sz w:val="27"/>
              <w:szCs w:val="27"/>
            </w:rPr>
            <w:t xml:space="preserve"> </w:t>
          </w:r>
        </w:p>
      </w:tc>
      <w:tc>
        <w:tcPr>
          <w:tcW w:w="5832" w:type="dxa"/>
          <w:vAlign w:val="bottom"/>
        </w:tcPr>
        <w:p w14:paraId="09C81D90" w14:textId="77777777" w:rsidR="00736118" w:rsidRDefault="008F2D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right" w:pos="9561"/>
              <w:tab w:val="right" w:pos="9921"/>
            </w:tabs>
            <w:spacing w:after="60" w:line="240" w:lineRule="auto"/>
            <w:jc w:val="right"/>
            <w:rPr>
              <w:color w:val="003DA5"/>
              <w:sz w:val="13"/>
              <w:szCs w:val="13"/>
            </w:rPr>
          </w:pPr>
          <w:r>
            <w:rPr>
              <w:color w:val="003DA5"/>
              <w:sz w:val="13"/>
              <w:szCs w:val="13"/>
            </w:rPr>
            <w:fldChar w:fldCharType="begin"/>
          </w:r>
          <w:r>
            <w:rPr>
              <w:color w:val="003DA5"/>
              <w:sz w:val="13"/>
              <w:szCs w:val="13"/>
            </w:rPr>
            <w:instrText>PAGE</w:instrText>
          </w:r>
          <w:r>
            <w:rPr>
              <w:color w:val="003DA5"/>
              <w:sz w:val="13"/>
              <w:szCs w:val="13"/>
            </w:rPr>
            <w:fldChar w:fldCharType="separate"/>
          </w:r>
          <w:r w:rsidR="00A6249E">
            <w:rPr>
              <w:noProof/>
              <w:color w:val="003DA5"/>
              <w:sz w:val="13"/>
              <w:szCs w:val="13"/>
            </w:rPr>
            <w:t>1</w:t>
          </w:r>
          <w:r>
            <w:rPr>
              <w:color w:val="003DA5"/>
              <w:sz w:val="13"/>
              <w:szCs w:val="13"/>
            </w:rPr>
            <w:fldChar w:fldCharType="end"/>
          </w:r>
          <w:r>
            <w:rPr>
              <w:color w:val="003DA5"/>
              <w:sz w:val="13"/>
              <w:szCs w:val="13"/>
            </w:rPr>
            <w:t xml:space="preserve"> / </w:t>
          </w:r>
          <w:r>
            <w:rPr>
              <w:color w:val="003DA5"/>
              <w:sz w:val="13"/>
              <w:szCs w:val="13"/>
            </w:rPr>
            <w:fldChar w:fldCharType="begin"/>
          </w:r>
          <w:r>
            <w:rPr>
              <w:color w:val="003DA5"/>
              <w:sz w:val="13"/>
              <w:szCs w:val="13"/>
            </w:rPr>
            <w:instrText>NUMPAGES</w:instrText>
          </w:r>
          <w:r>
            <w:rPr>
              <w:color w:val="003DA5"/>
              <w:sz w:val="13"/>
              <w:szCs w:val="13"/>
            </w:rPr>
            <w:fldChar w:fldCharType="separate"/>
          </w:r>
          <w:r w:rsidR="00A6249E">
            <w:rPr>
              <w:noProof/>
              <w:color w:val="003DA5"/>
              <w:sz w:val="13"/>
              <w:szCs w:val="13"/>
            </w:rPr>
            <w:t>2</w:t>
          </w:r>
          <w:r>
            <w:rPr>
              <w:color w:val="003DA5"/>
              <w:sz w:val="13"/>
              <w:szCs w:val="13"/>
            </w:rPr>
            <w:fldChar w:fldCharType="end"/>
          </w:r>
        </w:p>
      </w:tc>
    </w:tr>
  </w:tbl>
  <w:p w14:paraId="1DA7B06D" w14:textId="77777777" w:rsidR="00736118" w:rsidRDefault="00736118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6263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6DB7" w14:textId="77777777" w:rsidR="00723D92" w:rsidRDefault="00723D92">
      <w:pPr>
        <w:spacing w:line="240" w:lineRule="auto"/>
      </w:pPr>
      <w:r>
        <w:separator/>
      </w:r>
    </w:p>
  </w:footnote>
  <w:footnote w:type="continuationSeparator" w:id="0">
    <w:p w14:paraId="577C9187" w14:textId="77777777" w:rsidR="00723D92" w:rsidRDefault="00723D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6D06" w14:textId="009B16E6" w:rsidR="004A70AA" w:rsidRDefault="004A70AA" w:rsidP="004A70AA">
    <w:pPr>
      <w:tabs>
        <w:tab w:val="center" w:pos="4536"/>
        <w:tab w:val="right" w:pos="9356"/>
      </w:tabs>
      <w:rPr>
        <w:b/>
        <w:smallCaps/>
        <w:color w:val="003DA5"/>
      </w:rPr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4BFF91E4" wp14:editId="268CBF7E">
          <wp:simplePos x="0" y="0"/>
          <wp:positionH relativeFrom="page">
            <wp:posOffset>5996884</wp:posOffset>
          </wp:positionH>
          <wp:positionV relativeFrom="page">
            <wp:posOffset>333375</wp:posOffset>
          </wp:positionV>
          <wp:extent cx="1103051" cy="1400175"/>
          <wp:effectExtent l="0" t="0" r="1905" b="0"/>
          <wp:wrapNone/>
          <wp:docPr id="541721550" name="Immagine 541721550" descr="Immagine che contiene Mongolfiera, simbolo, pallon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192553" name="Immagine 1306192553" descr="Immagine che contiene Mongolfiera, simbolo, pallon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841" cy="140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E385A" w14:textId="77777777" w:rsidR="004A70AA" w:rsidRDefault="004A70AA" w:rsidP="004A70AA">
    <w:pPr>
      <w:tabs>
        <w:tab w:val="center" w:pos="4536"/>
        <w:tab w:val="right" w:pos="9356"/>
      </w:tabs>
      <w:rPr>
        <w:b/>
        <w:smallCaps/>
        <w:color w:val="003DA5"/>
      </w:rPr>
    </w:pPr>
  </w:p>
  <w:p w14:paraId="69849EDF" w14:textId="77777777" w:rsidR="004A70AA" w:rsidRDefault="004A70AA" w:rsidP="004A70AA">
    <w:pPr>
      <w:tabs>
        <w:tab w:val="center" w:pos="4536"/>
        <w:tab w:val="right" w:pos="9356"/>
      </w:tabs>
      <w:rPr>
        <w:b/>
        <w:smallCaps/>
        <w:color w:val="003DA5"/>
      </w:rPr>
    </w:pPr>
  </w:p>
  <w:p w14:paraId="1FCFCA79" w14:textId="77777777" w:rsidR="004A70AA" w:rsidRDefault="004A70AA" w:rsidP="004A70AA">
    <w:pPr>
      <w:tabs>
        <w:tab w:val="center" w:pos="4536"/>
        <w:tab w:val="right" w:pos="9356"/>
      </w:tabs>
      <w:rPr>
        <w:b/>
        <w:smallCaps/>
        <w:color w:val="003DA5"/>
      </w:rPr>
    </w:pPr>
  </w:p>
  <w:p w14:paraId="0197484C" w14:textId="77777777" w:rsidR="004A70AA" w:rsidRDefault="004A70AA" w:rsidP="004A70AA">
    <w:pPr>
      <w:tabs>
        <w:tab w:val="center" w:pos="4536"/>
        <w:tab w:val="right" w:pos="9356"/>
      </w:tabs>
      <w:rPr>
        <w:b/>
        <w:smallCaps/>
        <w:color w:val="003DA5"/>
      </w:rPr>
    </w:pPr>
  </w:p>
  <w:p w14:paraId="23BD31E6" w14:textId="77777777" w:rsidR="004A70AA" w:rsidRDefault="004A70AA" w:rsidP="004A70AA">
    <w:pPr>
      <w:spacing w:line="204" w:lineRule="auto"/>
      <w:ind w:right="1418"/>
      <w:rPr>
        <w:b/>
        <w:color w:val="003DA5"/>
        <w:sz w:val="40"/>
        <w:szCs w:val="40"/>
      </w:rPr>
    </w:pPr>
    <w:proofErr w:type="spellStart"/>
    <w:r>
      <w:rPr>
        <w:b/>
        <w:color w:val="003DA5"/>
        <w:sz w:val="40"/>
        <w:szCs w:val="40"/>
      </w:rPr>
      <w:t>Comunicato</w:t>
    </w:r>
    <w:proofErr w:type="spellEnd"/>
    <w:r>
      <w:rPr>
        <w:b/>
        <w:color w:val="003DA5"/>
        <w:sz w:val="40"/>
        <w:szCs w:val="40"/>
      </w:rPr>
      <w:t xml:space="preserve"> </w:t>
    </w:r>
  </w:p>
  <w:p w14:paraId="2C30176E" w14:textId="77777777" w:rsidR="004A70AA" w:rsidRDefault="004A70AA" w:rsidP="004A70AA">
    <w:pPr>
      <w:spacing w:line="204" w:lineRule="auto"/>
      <w:ind w:right="1418"/>
      <w:rPr>
        <w:b/>
        <w:color w:val="DC1C2E"/>
        <w:sz w:val="40"/>
        <w:szCs w:val="40"/>
      </w:rPr>
    </w:pPr>
    <w:r>
      <w:rPr>
        <w:b/>
        <w:color w:val="DC1C2E"/>
        <w:sz w:val="40"/>
        <w:szCs w:val="40"/>
      </w:rPr>
      <w:t>Stampa</w:t>
    </w:r>
  </w:p>
  <w:p w14:paraId="5F07E468" w14:textId="77777777" w:rsidR="004A70AA" w:rsidRPr="004A70AA" w:rsidRDefault="004A70AA" w:rsidP="004A70AA">
    <w:pPr>
      <w:spacing w:line="204" w:lineRule="auto"/>
      <w:ind w:right="1418"/>
      <w:rPr>
        <w:b/>
        <w:smallCaps/>
        <w:color w:val="003DA5"/>
        <w:highlight w:val="yellow"/>
      </w:rPr>
    </w:pPr>
  </w:p>
  <w:p w14:paraId="396A9D15" w14:textId="77777777" w:rsidR="004A70AA" w:rsidRDefault="004A70AA" w:rsidP="004A70AA">
    <w:pPr>
      <w:spacing w:line="204" w:lineRule="auto"/>
      <w:ind w:right="1418"/>
      <w:rPr>
        <w:b/>
        <w:smallCaps/>
        <w:color w:val="003DA5"/>
        <w:highlight w:val="yell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AE70" w14:textId="46E4C24A" w:rsidR="004A70AA" w:rsidRDefault="004A70AA" w:rsidP="004A70AA">
    <w:pPr>
      <w:tabs>
        <w:tab w:val="center" w:pos="4536"/>
        <w:tab w:val="right" w:pos="9356"/>
      </w:tabs>
      <w:rPr>
        <w:b/>
        <w:smallCaps/>
        <w:color w:val="003DA5"/>
      </w:rPr>
    </w:pP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499864A7" wp14:editId="13A27C88">
          <wp:simplePos x="0" y="0"/>
          <wp:positionH relativeFrom="page">
            <wp:posOffset>5996884</wp:posOffset>
          </wp:positionH>
          <wp:positionV relativeFrom="page">
            <wp:posOffset>333375</wp:posOffset>
          </wp:positionV>
          <wp:extent cx="1103051" cy="1400175"/>
          <wp:effectExtent l="0" t="0" r="1905" b="0"/>
          <wp:wrapNone/>
          <wp:docPr id="1306192553" name="Immagine 1306192553" descr="Immagine che contiene Mongolfiera, simbolo, pallon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192553" name="Immagine 1306192553" descr="Immagine che contiene Mongolfiera, simbolo, pallon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841" cy="140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color w:val="003DA5"/>
      </w:rPr>
      <w:t xml:space="preserve">Milano, </w:t>
    </w:r>
    <w:r w:rsidR="00E86569">
      <w:rPr>
        <w:b/>
        <w:smallCaps/>
        <w:color w:val="003DA5"/>
      </w:rPr>
      <w:t xml:space="preserve">27 </w:t>
    </w:r>
    <w:proofErr w:type="spellStart"/>
    <w:r>
      <w:rPr>
        <w:b/>
        <w:smallCaps/>
        <w:color w:val="003DA5"/>
      </w:rPr>
      <w:t>gennaio</w:t>
    </w:r>
    <w:proofErr w:type="spellEnd"/>
    <w:r>
      <w:rPr>
        <w:b/>
        <w:smallCaps/>
        <w:color w:val="003DA5"/>
      </w:rPr>
      <w:t xml:space="preserve"> 2025</w:t>
    </w:r>
  </w:p>
  <w:p w14:paraId="35DDEC4F" w14:textId="77777777" w:rsidR="004A70AA" w:rsidRDefault="004A70AA" w:rsidP="004A70AA">
    <w:pPr>
      <w:tabs>
        <w:tab w:val="center" w:pos="4536"/>
        <w:tab w:val="right" w:pos="9356"/>
      </w:tabs>
      <w:rPr>
        <w:b/>
        <w:smallCaps/>
        <w:color w:val="003DA5"/>
      </w:rPr>
    </w:pPr>
  </w:p>
  <w:p w14:paraId="1DBF62A6" w14:textId="77777777" w:rsidR="004A70AA" w:rsidRDefault="004A70AA" w:rsidP="004A70AA">
    <w:pPr>
      <w:tabs>
        <w:tab w:val="center" w:pos="4536"/>
        <w:tab w:val="right" w:pos="9356"/>
      </w:tabs>
      <w:rPr>
        <w:b/>
        <w:smallCaps/>
        <w:color w:val="003DA5"/>
      </w:rPr>
    </w:pPr>
  </w:p>
  <w:p w14:paraId="00FA6103" w14:textId="77777777" w:rsidR="004A70AA" w:rsidRDefault="004A70AA" w:rsidP="004A70AA">
    <w:pPr>
      <w:tabs>
        <w:tab w:val="center" w:pos="4536"/>
        <w:tab w:val="right" w:pos="9356"/>
      </w:tabs>
      <w:rPr>
        <w:b/>
        <w:smallCaps/>
        <w:color w:val="003DA5"/>
      </w:rPr>
    </w:pPr>
  </w:p>
  <w:p w14:paraId="60E5B628" w14:textId="77777777" w:rsidR="004A70AA" w:rsidRDefault="004A70AA" w:rsidP="004A70AA">
    <w:pPr>
      <w:tabs>
        <w:tab w:val="center" w:pos="4536"/>
        <w:tab w:val="right" w:pos="9356"/>
      </w:tabs>
      <w:rPr>
        <w:b/>
        <w:smallCaps/>
        <w:color w:val="003DA5"/>
      </w:rPr>
    </w:pPr>
  </w:p>
  <w:p w14:paraId="52384CE0" w14:textId="77777777" w:rsidR="004A70AA" w:rsidRDefault="004A70AA" w:rsidP="004A70AA">
    <w:pPr>
      <w:spacing w:line="204" w:lineRule="auto"/>
      <w:ind w:right="1418"/>
      <w:rPr>
        <w:b/>
        <w:color w:val="003DA5"/>
        <w:sz w:val="40"/>
        <w:szCs w:val="40"/>
      </w:rPr>
    </w:pPr>
    <w:proofErr w:type="spellStart"/>
    <w:r>
      <w:rPr>
        <w:b/>
        <w:color w:val="003DA5"/>
        <w:sz w:val="40"/>
        <w:szCs w:val="40"/>
      </w:rPr>
      <w:t>Comunicato</w:t>
    </w:r>
    <w:proofErr w:type="spellEnd"/>
    <w:r>
      <w:rPr>
        <w:b/>
        <w:color w:val="003DA5"/>
        <w:sz w:val="40"/>
        <w:szCs w:val="40"/>
      </w:rPr>
      <w:t xml:space="preserve"> </w:t>
    </w:r>
  </w:p>
  <w:p w14:paraId="54EA0DA8" w14:textId="77777777" w:rsidR="004A70AA" w:rsidRDefault="004A70AA" w:rsidP="004A70AA">
    <w:pPr>
      <w:spacing w:line="204" w:lineRule="auto"/>
      <w:ind w:right="1418"/>
      <w:rPr>
        <w:b/>
        <w:smallCaps/>
        <w:color w:val="003DA5"/>
        <w:highlight w:val="yellow"/>
      </w:rPr>
    </w:pPr>
    <w:r>
      <w:rPr>
        <w:b/>
        <w:color w:val="DC1C2E"/>
        <w:sz w:val="40"/>
        <w:szCs w:val="40"/>
      </w:rPr>
      <w:t>Stampa</w:t>
    </w:r>
  </w:p>
  <w:p w14:paraId="7B0E0537" w14:textId="77777777" w:rsidR="004A70AA" w:rsidRDefault="004A70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356"/>
      </w:tabs>
      <w:rPr>
        <w:b/>
        <w:smallCaps/>
        <w:color w:val="003DA5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2224"/>
    <w:multiLevelType w:val="multilevel"/>
    <w:tmpl w:val="0A06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441E4"/>
    <w:multiLevelType w:val="hybridMultilevel"/>
    <w:tmpl w:val="1472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10FE6"/>
    <w:multiLevelType w:val="hybridMultilevel"/>
    <w:tmpl w:val="27182E0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6C6C3652"/>
    <w:multiLevelType w:val="hybridMultilevel"/>
    <w:tmpl w:val="351CC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333524">
    <w:abstractNumId w:val="3"/>
  </w:num>
  <w:num w:numId="2" w16cid:durableId="118109858">
    <w:abstractNumId w:val="1"/>
  </w:num>
  <w:num w:numId="3" w16cid:durableId="1975136897">
    <w:abstractNumId w:val="2"/>
  </w:num>
  <w:num w:numId="4" w16cid:durableId="9667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18"/>
    <w:rsid w:val="00011F1C"/>
    <w:rsid w:val="00052671"/>
    <w:rsid w:val="00054F86"/>
    <w:rsid w:val="00060005"/>
    <w:rsid w:val="00077D43"/>
    <w:rsid w:val="000A7547"/>
    <w:rsid w:val="000D6D2D"/>
    <w:rsid w:val="000E06AE"/>
    <w:rsid w:val="00123199"/>
    <w:rsid w:val="00124EF8"/>
    <w:rsid w:val="0014447D"/>
    <w:rsid w:val="001D06A0"/>
    <w:rsid w:val="001E0647"/>
    <w:rsid w:val="001E7E67"/>
    <w:rsid w:val="00272678"/>
    <w:rsid w:val="00290FA5"/>
    <w:rsid w:val="00294F8E"/>
    <w:rsid w:val="003001EB"/>
    <w:rsid w:val="00303424"/>
    <w:rsid w:val="00304AFD"/>
    <w:rsid w:val="003079A8"/>
    <w:rsid w:val="00314692"/>
    <w:rsid w:val="0032600D"/>
    <w:rsid w:val="00367F14"/>
    <w:rsid w:val="00395FB5"/>
    <w:rsid w:val="003A2829"/>
    <w:rsid w:val="003C02FE"/>
    <w:rsid w:val="003E4F05"/>
    <w:rsid w:val="003E5999"/>
    <w:rsid w:val="003F11A5"/>
    <w:rsid w:val="003F70A2"/>
    <w:rsid w:val="004221EE"/>
    <w:rsid w:val="00432212"/>
    <w:rsid w:val="00434DFF"/>
    <w:rsid w:val="00436369"/>
    <w:rsid w:val="00495AA8"/>
    <w:rsid w:val="004A51C8"/>
    <w:rsid w:val="004A70AA"/>
    <w:rsid w:val="004B4C03"/>
    <w:rsid w:val="00521CC5"/>
    <w:rsid w:val="0053397E"/>
    <w:rsid w:val="00542D5A"/>
    <w:rsid w:val="00551FBE"/>
    <w:rsid w:val="005638B7"/>
    <w:rsid w:val="005651F1"/>
    <w:rsid w:val="00594F50"/>
    <w:rsid w:val="005C1DDD"/>
    <w:rsid w:val="00607C4F"/>
    <w:rsid w:val="0064207A"/>
    <w:rsid w:val="00671C98"/>
    <w:rsid w:val="00681945"/>
    <w:rsid w:val="00685039"/>
    <w:rsid w:val="006929AE"/>
    <w:rsid w:val="006A1F7E"/>
    <w:rsid w:val="006A6074"/>
    <w:rsid w:val="006B7870"/>
    <w:rsid w:val="00705877"/>
    <w:rsid w:val="007120AC"/>
    <w:rsid w:val="00723D92"/>
    <w:rsid w:val="00733046"/>
    <w:rsid w:val="00736118"/>
    <w:rsid w:val="00745A9A"/>
    <w:rsid w:val="00767F64"/>
    <w:rsid w:val="00793D5D"/>
    <w:rsid w:val="007B61EF"/>
    <w:rsid w:val="007F4658"/>
    <w:rsid w:val="00806163"/>
    <w:rsid w:val="00850CA8"/>
    <w:rsid w:val="00874986"/>
    <w:rsid w:val="0089147C"/>
    <w:rsid w:val="008A135C"/>
    <w:rsid w:val="008D621C"/>
    <w:rsid w:val="008E3A97"/>
    <w:rsid w:val="008E5D43"/>
    <w:rsid w:val="008F2D8C"/>
    <w:rsid w:val="008F777D"/>
    <w:rsid w:val="00914117"/>
    <w:rsid w:val="00931DC2"/>
    <w:rsid w:val="00936D85"/>
    <w:rsid w:val="009856DB"/>
    <w:rsid w:val="009E4CA4"/>
    <w:rsid w:val="009E7887"/>
    <w:rsid w:val="009E7AE4"/>
    <w:rsid w:val="00A34AC8"/>
    <w:rsid w:val="00A3533D"/>
    <w:rsid w:val="00A6249E"/>
    <w:rsid w:val="00A6426D"/>
    <w:rsid w:val="00A8568A"/>
    <w:rsid w:val="00AA4B25"/>
    <w:rsid w:val="00B45623"/>
    <w:rsid w:val="00B86743"/>
    <w:rsid w:val="00B9424E"/>
    <w:rsid w:val="00BB21F7"/>
    <w:rsid w:val="00BC7A47"/>
    <w:rsid w:val="00BE11F0"/>
    <w:rsid w:val="00C61B5A"/>
    <w:rsid w:val="00C656EC"/>
    <w:rsid w:val="00C8349D"/>
    <w:rsid w:val="00D73617"/>
    <w:rsid w:val="00D8025E"/>
    <w:rsid w:val="00DC0A66"/>
    <w:rsid w:val="00E12CEE"/>
    <w:rsid w:val="00E61F42"/>
    <w:rsid w:val="00E86569"/>
    <w:rsid w:val="00EA1FD2"/>
    <w:rsid w:val="00EB1A22"/>
    <w:rsid w:val="00F352C4"/>
    <w:rsid w:val="00F774BC"/>
    <w:rsid w:val="00F84BBF"/>
    <w:rsid w:val="00F856FC"/>
    <w:rsid w:val="00F9245D"/>
    <w:rsid w:val="00F94DDB"/>
    <w:rsid w:val="00F96FB9"/>
    <w:rsid w:val="00FB6F3F"/>
    <w:rsid w:val="00FD2FC0"/>
    <w:rsid w:val="00FD6946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71BDF"/>
  <w15:docId w15:val="{20692456-B551-4C14-A8A5-4784934A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280"/>
      <w:outlineLvl w:val="0"/>
    </w:pPr>
    <w:rPr>
      <w:b/>
      <w:color w:val="004A99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40"/>
      <w:outlineLvl w:val="1"/>
    </w:pPr>
    <w:rPr>
      <w:b/>
      <w:color w:val="004A99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40"/>
      <w:outlineLvl w:val="2"/>
    </w:pPr>
    <w:rPr>
      <w:b/>
      <w:color w:val="007DC3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120"/>
      <w:ind w:left="864" w:hanging="864"/>
      <w:outlineLvl w:val="3"/>
    </w:pPr>
    <w:rPr>
      <w:b/>
      <w:color w:val="40404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00"/>
      <w:ind w:left="1008" w:hanging="1008"/>
      <w:outlineLvl w:val="4"/>
    </w:pPr>
    <w:rPr>
      <w:color w:val="6D0D1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ind w:left="1152" w:hanging="1152"/>
      <w:outlineLvl w:val="5"/>
    </w:pPr>
    <w:rPr>
      <w:i/>
      <w:color w:val="6D0D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spacing w:before="1560" w:line="240" w:lineRule="auto"/>
    </w:pPr>
    <w:rPr>
      <w:b/>
      <w:color w:val="DB0812"/>
      <w:sz w:val="74"/>
      <w:szCs w:val="74"/>
    </w:rPr>
  </w:style>
  <w:style w:type="paragraph" w:styleId="Sottotitolo">
    <w:name w:val="Subtitle"/>
    <w:basedOn w:val="Normale"/>
    <w:next w:val="Normale"/>
    <w:uiPriority w:val="11"/>
    <w:qFormat/>
    <w:pPr>
      <w:spacing w:line="240" w:lineRule="auto"/>
    </w:pPr>
    <w:rPr>
      <w:b/>
      <w:color w:val="004A99"/>
      <w:sz w:val="74"/>
      <w:szCs w:val="74"/>
    </w:rPr>
  </w:style>
  <w:style w:type="table" w:customStyle="1" w:styleId="a">
    <w:basedOn w:val="Tabellanormale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top w:w="85" w:type="dxa"/>
        <w:left w:w="0" w:type="dxa"/>
        <w:bottom w:w="57" w:type="dxa"/>
        <w:right w:w="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top w:w="85" w:type="dxa"/>
        <w:left w:w="0" w:type="dxa"/>
        <w:bottom w:w="57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51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51F1"/>
    <w:rPr>
      <w:b/>
      <w:bCs/>
    </w:rPr>
  </w:style>
  <w:style w:type="paragraph" w:styleId="Revisione">
    <w:name w:val="Revision"/>
    <w:hidden/>
    <w:uiPriority w:val="99"/>
    <w:semiHidden/>
    <w:rsid w:val="001E7E67"/>
    <w:pPr>
      <w:spacing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1231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319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7C4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9856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0D6D2D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D2D"/>
  </w:style>
  <w:style w:type="paragraph" w:styleId="Pidipagina">
    <w:name w:val="footer"/>
    <w:basedOn w:val="Normale"/>
    <w:link w:val="PidipaginaCarattere"/>
    <w:uiPriority w:val="99"/>
    <w:unhideWhenUsed/>
    <w:rsid w:val="000D6D2D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m.ax/European_Housing_Trend_Report_202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emax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pinkommunicatio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max.it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Pfeffer</dc:creator>
  <cp:lastModifiedBy>Laura Premoli</cp:lastModifiedBy>
  <cp:revision>11</cp:revision>
  <dcterms:created xsi:type="dcterms:W3CDTF">2025-01-17T11:46:00Z</dcterms:created>
  <dcterms:modified xsi:type="dcterms:W3CDTF">2025-01-24T12:30:00Z</dcterms:modified>
</cp:coreProperties>
</file>