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29F1" w14:textId="1CFFEB64" w:rsidR="006D6AA0" w:rsidRDefault="006D6AA0" w:rsidP="006D6AA0">
      <w:pPr>
        <w:spacing w:afterAutospacing="1" w:line="240" w:lineRule="auto"/>
        <w:jc w:val="center"/>
        <w:rPr>
          <w:rFonts w:ascii="Roboto" w:eastAsia="Roboto" w:hAnsi="Roboto" w:cs="Roboto"/>
          <w:sz w:val="28"/>
          <w:szCs w:val="28"/>
        </w:rPr>
      </w:pPr>
      <w:r w:rsidRPr="0E956073">
        <w:rPr>
          <w:rFonts w:ascii="Roboto" w:eastAsia="Roboto" w:hAnsi="Roboto" w:cs="Roboto"/>
          <w:i/>
          <w:iCs/>
          <w:color w:val="000000" w:themeColor="text1"/>
          <w:sz w:val="24"/>
          <w:szCs w:val="24"/>
        </w:rPr>
        <w:t xml:space="preserve">Comunicato stampa </w:t>
      </w:r>
      <w:r>
        <w:rPr>
          <w:rFonts w:ascii="Roboto" w:eastAsia="Roboto" w:hAnsi="Roboto" w:cs="Roboto"/>
          <w:i/>
          <w:iCs/>
          <w:color w:val="000000" w:themeColor="text1"/>
          <w:sz w:val="24"/>
          <w:szCs w:val="24"/>
        </w:rPr>
        <w:t>22</w:t>
      </w:r>
      <w:r w:rsidRPr="0E956073">
        <w:rPr>
          <w:rFonts w:ascii="Roboto" w:eastAsia="Roboto" w:hAnsi="Roboto" w:cs="Roboto"/>
          <w:i/>
          <w:iCs/>
          <w:color w:val="000000" w:themeColor="text1"/>
          <w:sz w:val="24"/>
          <w:szCs w:val="24"/>
        </w:rPr>
        <w:t>/</w:t>
      </w:r>
      <w:r>
        <w:rPr>
          <w:rFonts w:ascii="Roboto" w:eastAsia="Roboto" w:hAnsi="Roboto" w:cs="Roboto"/>
          <w:i/>
          <w:iCs/>
          <w:color w:val="000000" w:themeColor="text1"/>
          <w:sz w:val="24"/>
          <w:szCs w:val="24"/>
        </w:rPr>
        <w:t>01</w:t>
      </w:r>
      <w:r w:rsidRPr="0E956073">
        <w:rPr>
          <w:rFonts w:ascii="Roboto" w:eastAsia="Roboto" w:hAnsi="Roboto" w:cs="Roboto"/>
          <w:i/>
          <w:iCs/>
          <w:color w:val="000000" w:themeColor="text1"/>
          <w:sz w:val="24"/>
          <w:szCs w:val="24"/>
        </w:rPr>
        <w:t>/202</w:t>
      </w:r>
      <w:r>
        <w:rPr>
          <w:rFonts w:ascii="Roboto" w:eastAsia="Roboto" w:hAnsi="Roboto" w:cs="Roboto"/>
          <w:i/>
          <w:iCs/>
          <w:color w:val="000000" w:themeColor="text1"/>
          <w:sz w:val="24"/>
          <w:szCs w:val="24"/>
        </w:rPr>
        <w:t>5</w:t>
      </w:r>
    </w:p>
    <w:p w14:paraId="3A6C3024" w14:textId="77777777" w:rsidR="006D6AA0" w:rsidRPr="0059239B" w:rsidRDefault="006D6AA0" w:rsidP="006D6AA0">
      <w:pPr>
        <w:shd w:val="clear" w:color="auto" w:fill="FFFFFF" w:themeFill="background1"/>
        <w:spacing w:after="40" w:line="240" w:lineRule="auto"/>
        <w:jc w:val="center"/>
        <w:rPr>
          <w:rFonts w:ascii="Roboto" w:hAnsi="Roboto"/>
          <w:b/>
          <w:bCs/>
          <w:color w:val="005596"/>
          <w:sz w:val="28"/>
          <w:szCs w:val="28"/>
        </w:rPr>
      </w:pPr>
      <w:r>
        <w:rPr>
          <w:rFonts w:ascii="Roboto" w:hAnsi="Roboto"/>
          <w:b/>
          <w:bCs/>
          <w:color w:val="005596"/>
          <w:sz w:val="28"/>
          <w:szCs w:val="28"/>
        </w:rPr>
        <w:t>MutuiOnline.it: i tassi in calo rilanciano il mercato dei mutui nel 2024</w:t>
      </w:r>
    </w:p>
    <w:p w14:paraId="637FADF1" w14:textId="77777777" w:rsidR="006D6AA0" w:rsidRPr="005357BE" w:rsidRDefault="006D6AA0" w:rsidP="006D6AA0">
      <w:pPr>
        <w:jc w:val="center"/>
        <w:rPr>
          <w:rFonts w:ascii="Roboto" w:hAnsi="Roboto"/>
          <w:b/>
          <w:bCs/>
          <w:color w:val="FAA633"/>
          <w:sz w:val="28"/>
          <w:szCs w:val="28"/>
        </w:rPr>
      </w:pPr>
      <w:r w:rsidRPr="3BA20E4F">
        <w:rPr>
          <w:rFonts w:ascii="Roboto" w:hAnsi="Roboto"/>
          <w:b/>
          <w:bCs/>
          <w:color w:val="FAA633"/>
          <w:sz w:val="28"/>
          <w:szCs w:val="28"/>
        </w:rPr>
        <w:t>Grazie ai 4 tagli sul costo del denaro operati dalla Bce nel 2024, le rate mensili dei mutui a tasso variabile sono fino a 82 € più leggere rispetto a inizio anno</w:t>
      </w:r>
    </w:p>
    <w:p w14:paraId="497FABEE" w14:textId="77777777" w:rsidR="005E147C" w:rsidRDefault="005E147C" w:rsidP="005E147C">
      <w:pPr>
        <w:spacing w:after="0" w:line="240" w:lineRule="auto"/>
        <w:jc w:val="both"/>
        <w:rPr>
          <w:rFonts w:ascii="Georgia" w:eastAsia="Georgia" w:hAnsi="Georgia" w:cs="Georgia"/>
          <w:sz w:val="20"/>
          <w:szCs w:val="20"/>
        </w:rPr>
      </w:pPr>
      <w:r w:rsidRPr="37C020E1">
        <w:rPr>
          <w:rFonts w:ascii="Georgia" w:eastAsia="Georgia" w:hAnsi="Georgia" w:cs="Georgia"/>
          <w:sz w:val="20"/>
          <w:szCs w:val="20"/>
        </w:rPr>
        <w:t xml:space="preserve">Il 2024 è stato un anno incoraggiante per il mercato dei mutui in Italia, che si conferma in chiara ripresa dopo un 2023 decisamente difficile a causa dei tassi di interesse alle stelle. I quattro tagli sul costo del denaro operati dalla Banca Centrale Europea nel corso dell’anno hanno avuto effetti positivi sul mercato, con il TAN medio dei </w:t>
      </w:r>
      <w:r w:rsidRPr="008B05BA">
        <w:rPr>
          <w:rFonts w:ascii="Georgia" w:eastAsia="Georgia" w:hAnsi="Georgia" w:cs="Georgia"/>
          <w:sz w:val="20"/>
          <w:szCs w:val="20"/>
        </w:rPr>
        <w:t>mutui a tasso variabile</w:t>
      </w:r>
      <w:r w:rsidRPr="37C020E1">
        <w:rPr>
          <w:rFonts w:ascii="Georgia" w:eastAsia="Georgia" w:hAnsi="Georgia" w:cs="Georgia"/>
          <w:sz w:val="20"/>
          <w:szCs w:val="20"/>
        </w:rPr>
        <w:t xml:space="preserve"> a 20 e 30 anni che è calato di oltre un punto percentuale rispetto a gennaio, passando dal 4,94% al 3,93% di dicembre. Secondo le stime di </w:t>
      </w:r>
      <w:hyperlink r:id="rId11" w:history="1">
        <w:r w:rsidRPr="008B05BA">
          <w:rPr>
            <w:rStyle w:val="Collegamentoipertestuale"/>
            <w:rFonts w:ascii="Georgia" w:eastAsia="Georgia" w:hAnsi="Georgia" w:cs="Georgia"/>
            <w:sz w:val="20"/>
            <w:szCs w:val="20"/>
          </w:rPr>
          <w:t>MutuiOnline.it</w:t>
        </w:r>
      </w:hyperlink>
      <w:r w:rsidRPr="37C020E1">
        <w:rPr>
          <w:rFonts w:ascii="Georgia" w:eastAsia="Georgia" w:hAnsi="Georgia" w:cs="Georgia"/>
          <w:sz w:val="20"/>
          <w:szCs w:val="20"/>
        </w:rPr>
        <w:t>, i consumatori che a inizio anno hanno scelto questo tipo di finanziamento hanno visto la rata mensile alleggerirsi di 82 €, passando dai 985 € di gennaio ai 903 € attuali, per un risparmio di 19.565 € sugli interessi di un mutuo a 20 anni da 150.000 €. Inoltre</w:t>
      </w:r>
      <w:r>
        <w:rPr>
          <w:rFonts w:ascii="Georgia" w:eastAsia="Georgia" w:hAnsi="Georgia" w:cs="Georgia"/>
          <w:sz w:val="20"/>
          <w:szCs w:val="20"/>
        </w:rPr>
        <w:t xml:space="preserve">, </w:t>
      </w:r>
      <w:r w:rsidRPr="37C020E1">
        <w:rPr>
          <w:rFonts w:ascii="Georgia" w:eastAsia="Georgia" w:hAnsi="Georgia" w:cs="Georgia"/>
          <w:sz w:val="20"/>
          <w:szCs w:val="20"/>
        </w:rPr>
        <w:t xml:space="preserve">la strategia di allentamento in materia di politica monetaria da parte dell’Eurotower è destinata a proseguire nel corso di quest’anno: ipotizzando altri 3 tagli da 25 punti base ciascuno entro giugno, il TAN medio dei mutui a tasso variabile potrebbe scendere al 3,18%, che comporterebbe una rata mensile del mutuo considerato di 845 €, per un risparmio di 13.913 € sugli interessi del mutuo rispetto a oggi. </w:t>
      </w:r>
    </w:p>
    <w:p w14:paraId="71AA40C0" w14:textId="1FC5163A" w:rsidR="005E147C" w:rsidRDefault="005E147C" w:rsidP="005E147C">
      <w:pPr>
        <w:spacing w:after="0" w:line="240" w:lineRule="auto"/>
        <w:jc w:val="both"/>
        <w:rPr>
          <w:rFonts w:ascii="Georgia" w:eastAsia="Georgia" w:hAnsi="Georgia" w:cs="Georgia"/>
          <w:sz w:val="20"/>
          <w:szCs w:val="20"/>
        </w:rPr>
      </w:pPr>
      <w:bookmarkStart w:id="0" w:name="_Hlk186723060"/>
      <w:r w:rsidRPr="5708EADA">
        <w:rPr>
          <w:rFonts w:ascii="Georgia" w:eastAsia="Georgia" w:hAnsi="Georgia" w:cs="Georgia"/>
          <w:sz w:val="20"/>
          <w:szCs w:val="20"/>
        </w:rPr>
        <w:t>Nuovi tagli sul costo del denaro potrebbero dunque portare a un riequilibrio entro fine anno tra il tasso di interesse del variabile e quello del fisso, che al momento risulta nettamente più conveniente alla luce di un TAN medio che a dicembre si attesta al 2,75%.</w:t>
      </w:r>
      <w:bookmarkEnd w:id="0"/>
      <w:r>
        <w:rPr>
          <w:rFonts w:ascii="Georgia" w:eastAsia="Georgia" w:hAnsi="Georgia" w:cs="Georgia"/>
          <w:sz w:val="20"/>
          <w:szCs w:val="20"/>
        </w:rPr>
        <w:t xml:space="preserve"> </w:t>
      </w:r>
    </w:p>
    <w:p w14:paraId="388ACCA4" w14:textId="77777777" w:rsidR="005E147C" w:rsidRPr="000D66DD" w:rsidRDefault="005E147C" w:rsidP="005E147C">
      <w:pPr>
        <w:spacing w:after="0" w:line="240" w:lineRule="auto"/>
        <w:jc w:val="both"/>
        <w:rPr>
          <w:rStyle w:val="normaltextrun"/>
          <w:rFonts w:ascii="Georgia" w:eastAsia="Georgia" w:hAnsi="Georgia" w:cs="Georgia"/>
          <w:sz w:val="20"/>
          <w:szCs w:val="20"/>
        </w:rPr>
      </w:pPr>
      <w:hyperlink r:id="rId12" w:history="1">
        <w:r w:rsidRPr="008B05BA">
          <w:rPr>
            <w:rStyle w:val="Collegamentoipertestuale"/>
            <w:rFonts w:ascii="Georgia" w:eastAsia="Georgia" w:hAnsi="Georgia" w:cs="Georgia"/>
            <w:sz w:val="20"/>
            <w:szCs w:val="20"/>
          </w:rPr>
          <w:t>Nicoletta Papucci</w:t>
        </w:r>
      </w:hyperlink>
      <w:r>
        <w:rPr>
          <w:rFonts w:ascii="Georgia" w:eastAsia="Georgia" w:hAnsi="Georgia" w:cs="Georgia"/>
          <w:sz w:val="20"/>
          <w:szCs w:val="20"/>
        </w:rPr>
        <w:t xml:space="preserve">, portavoce di MutuiOnline.it, commenta: </w:t>
      </w:r>
      <w:r w:rsidRPr="00024EF5">
        <w:rPr>
          <w:rFonts w:ascii="Georgia" w:eastAsia="Georgia" w:hAnsi="Georgia" w:cs="Georgia"/>
          <w:i/>
          <w:iCs/>
          <w:sz w:val="20"/>
          <w:szCs w:val="20"/>
        </w:rPr>
        <w:t xml:space="preserve">“Nel 2024, il cambio di rotta in tema di politica monetaria della Banca Centrale Europea ha permesso al mercato dei mutui di risollevarsi. Grazie ai quattro tagli sul costo del denaro operati a partire da giugno, i tassi in discesa stanno rendendo l’accesso al credito molto più vantaggioso rispetto a un anno fa, e questo lascia ben sperare per il 2025. Le prospettive inflattive nell’Eurozona sono infatti buone e </w:t>
      </w:r>
      <w:r w:rsidRPr="00024EF5">
        <w:rPr>
          <w:rStyle w:val="normaltextrun"/>
          <w:rFonts w:ascii="Georgia" w:hAnsi="Georgia"/>
          <w:i/>
          <w:iCs/>
          <w:color w:val="000000"/>
          <w:sz w:val="20"/>
          <w:szCs w:val="20"/>
          <w:bdr w:val="none" w:sz="0" w:space="0" w:color="auto" w:frame="1"/>
        </w:rPr>
        <w:t xml:space="preserve">secondo le curve </w:t>
      </w:r>
      <w:proofErr w:type="spellStart"/>
      <w:r w:rsidRPr="00024EF5">
        <w:rPr>
          <w:rStyle w:val="normaltextrun"/>
          <w:rFonts w:ascii="Georgia" w:hAnsi="Georgia"/>
          <w:i/>
          <w:iCs/>
          <w:color w:val="000000"/>
          <w:sz w:val="20"/>
          <w:szCs w:val="20"/>
          <w:bdr w:val="none" w:sz="0" w:space="0" w:color="auto" w:frame="1"/>
        </w:rPr>
        <w:t>forward</w:t>
      </w:r>
      <w:proofErr w:type="spellEnd"/>
      <w:r w:rsidRPr="00024EF5">
        <w:rPr>
          <w:rStyle w:val="normaltextrun"/>
          <w:rFonts w:ascii="Georgia" w:hAnsi="Georgia"/>
          <w:i/>
          <w:iCs/>
          <w:color w:val="000000"/>
          <w:sz w:val="20"/>
          <w:szCs w:val="20"/>
          <w:bdr w:val="none" w:sz="0" w:space="0" w:color="auto" w:frame="1"/>
        </w:rPr>
        <w:t xml:space="preserve"> l’Euribor a 1 e 3 mesi dovrebbe scendere sotto il 2% nella seconda metà dell’anno (un calo significativo rispetto a inizio 2024, quando il valore dell’Euribor a 1 e 3 mesi era attorno al 3,9%). In questa prospettiva, il riequilibrio tra mutui a tasso fisso e variabile atteso a fine 2025 permetterà ai consumatori di avere a disposizione una gamma sempre più ampia di opzioni tra cui scegliere. Gli strumenti di comparazione delle offerte come MutuiOnline.it saranno ancora più fondamentali per individuare le soluzioni più convenienti e risparmiare migliaia di euro di interessi sul rimborso del mutuo.”</w:t>
      </w:r>
    </w:p>
    <w:p w14:paraId="7134AE3B" w14:textId="77777777" w:rsidR="00354E20" w:rsidRDefault="00354E20" w:rsidP="007C3498">
      <w:pPr>
        <w:spacing w:after="0" w:line="240" w:lineRule="auto"/>
        <w:jc w:val="both"/>
        <w:rPr>
          <w:rFonts w:ascii="Georgia" w:eastAsia="Georgia" w:hAnsi="Georgia" w:cs="Georgia"/>
          <w:sz w:val="20"/>
          <w:szCs w:val="20"/>
        </w:rPr>
      </w:pPr>
    </w:p>
    <w:p w14:paraId="4E357D7B" w14:textId="370F1851" w:rsidR="007C3498" w:rsidRPr="00354E20" w:rsidRDefault="00354E20" w:rsidP="00354E20">
      <w:pPr>
        <w:jc w:val="center"/>
        <w:rPr>
          <w:rFonts w:ascii="Roboto" w:hAnsi="Roboto"/>
          <w:b/>
          <w:bCs/>
          <w:color w:val="FAA633"/>
          <w:sz w:val="28"/>
          <w:szCs w:val="28"/>
        </w:rPr>
      </w:pPr>
      <w:r>
        <w:rPr>
          <w:rFonts w:ascii="Roboto" w:hAnsi="Roboto"/>
          <w:b/>
          <w:bCs/>
          <w:color w:val="FAA633"/>
          <w:sz w:val="28"/>
          <w:szCs w:val="28"/>
        </w:rPr>
        <w:t>In Lombardia richieste di surroga sopra la media nazionale nel 2024. Aumentano durata media dei finanziamenti, importi medi richiesti e valore degli immobili</w:t>
      </w:r>
    </w:p>
    <w:p w14:paraId="195C717B" w14:textId="00C0EC89" w:rsidR="00F1478E" w:rsidRDefault="00F1478E" w:rsidP="00F1478E">
      <w:pPr>
        <w:spacing w:after="0" w:line="240" w:lineRule="auto"/>
        <w:jc w:val="both"/>
        <w:rPr>
          <w:rFonts w:ascii="Georgia" w:eastAsia="Georgia" w:hAnsi="Georgia" w:cs="Georgia"/>
          <w:sz w:val="20"/>
          <w:szCs w:val="20"/>
        </w:rPr>
      </w:pPr>
      <w:r>
        <w:rPr>
          <w:rFonts w:ascii="Georgia" w:eastAsia="Georgia" w:hAnsi="Georgia" w:cs="Georgia"/>
          <w:sz w:val="20"/>
          <w:szCs w:val="20"/>
        </w:rPr>
        <w:t>I</w:t>
      </w:r>
      <w:r>
        <w:rPr>
          <w:rFonts w:ascii="Georgia" w:eastAsia="Georgia" w:hAnsi="Georgia" w:cs="Georgia"/>
          <w:sz w:val="20"/>
          <w:szCs w:val="20"/>
        </w:rPr>
        <w:t>n Lombardia la quasi totalità dei clienti di MutuiOnline.it (99,0%) ha optato per il tasso fisso nel 2024, quota in netta crescita se si considera il recente passato. Infatti, nel 2023 il fisso era stato scelto nel 91,2% dei casi, dato che si abbassa al 66,5% nel 2022</w:t>
      </w:r>
      <w:r w:rsidR="00DF07DB">
        <w:rPr>
          <w:rFonts w:ascii="Georgia" w:eastAsia="Georgia" w:hAnsi="Georgia" w:cs="Georgia"/>
          <w:sz w:val="20"/>
          <w:szCs w:val="20"/>
        </w:rPr>
        <w:t>,</w:t>
      </w:r>
      <w:r>
        <w:rPr>
          <w:rFonts w:ascii="Georgia" w:eastAsia="Georgia" w:hAnsi="Georgia" w:cs="Georgia"/>
          <w:sz w:val="20"/>
          <w:szCs w:val="20"/>
        </w:rPr>
        <w:t xml:space="preserve"> quando il tasso variabile era più conveniente del fisso con un TAN medio che si attestava sotto l’1%.</w:t>
      </w:r>
    </w:p>
    <w:p w14:paraId="36AE40AC" w14:textId="4A7F3C65" w:rsidR="008304C9" w:rsidRDefault="008D5921" w:rsidP="008304C9">
      <w:pPr>
        <w:spacing w:after="0" w:line="240" w:lineRule="auto"/>
        <w:jc w:val="both"/>
        <w:rPr>
          <w:rFonts w:ascii="Georgia" w:eastAsia="Georgia" w:hAnsi="Georgia" w:cs="Georgia"/>
          <w:sz w:val="20"/>
          <w:szCs w:val="20"/>
        </w:rPr>
      </w:pPr>
      <w:r>
        <w:rPr>
          <w:rFonts w:ascii="Georgia" w:eastAsia="Georgia" w:hAnsi="Georgia" w:cs="Georgia"/>
          <w:sz w:val="20"/>
          <w:szCs w:val="20"/>
        </w:rPr>
        <w:t>L</w:t>
      </w:r>
      <w:r w:rsidR="00C87D6B">
        <w:rPr>
          <w:rFonts w:ascii="Georgia" w:eastAsia="Georgia" w:hAnsi="Georgia" w:cs="Georgia"/>
          <w:sz w:val="20"/>
          <w:szCs w:val="20"/>
        </w:rPr>
        <w:t xml:space="preserve">e richiesti di </w:t>
      </w:r>
      <w:hyperlink r:id="rId13" w:history="1">
        <w:r w:rsidR="00C87D6B" w:rsidRPr="00876268">
          <w:rPr>
            <w:rStyle w:val="Collegamentoipertestuale"/>
            <w:rFonts w:ascii="Georgia" w:eastAsia="Georgia" w:hAnsi="Georgia" w:cs="Georgia"/>
            <w:sz w:val="20"/>
            <w:szCs w:val="20"/>
          </w:rPr>
          <w:t>surroga</w:t>
        </w:r>
        <w:r w:rsidR="00FF2825" w:rsidRPr="00876268">
          <w:rPr>
            <w:rStyle w:val="Collegamentoipertestuale"/>
            <w:rFonts w:ascii="Georgia" w:eastAsia="Georgia" w:hAnsi="Georgia" w:cs="Georgia"/>
            <w:sz w:val="20"/>
            <w:szCs w:val="20"/>
          </w:rPr>
          <w:t xml:space="preserve"> del mutuo</w:t>
        </w:r>
      </w:hyperlink>
      <w:r w:rsidR="00C87D6B">
        <w:rPr>
          <w:rFonts w:ascii="Georgia" w:eastAsia="Georgia" w:hAnsi="Georgia" w:cs="Georgia"/>
          <w:sz w:val="20"/>
          <w:szCs w:val="20"/>
        </w:rPr>
        <w:t xml:space="preserve">, ovvero di trasferimento del </w:t>
      </w:r>
      <w:r w:rsidR="00876268">
        <w:rPr>
          <w:rFonts w:ascii="Georgia" w:eastAsia="Georgia" w:hAnsi="Georgia" w:cs="Georgia"/>
          <w:sz w:val="20"/>
          <w:szCs w:val="20"/>
        </w:rPr>
        <w:t>finanziamento</w:t>
      </w:r>
      <w:r w:rsidR="00C87D6B">
        <w:rPr>
          <w:rFonts w:ascii="Georgia" w:eastAsia="Georgia" w:hAnsi="Georgia" w:cs="Georgia"/>
          <w:sz w:val="20"/>
          <w:szCs w:val="20"/>
        </w:rPr>
        <w:t xml:space="preserve"> da una banca a un’altra per beneficiare</w:t>
      </w:r>
      <w:r w:rsidR="00C87D6B" w:rsidRPr="0099084A">
        <w:rPr>
          <w:rFonts w:ascii="Georgia" w:eastAsia="Georgia" w:hAnsi="Georgia" w:cs="Georgia"/>
          <w:sz w:val="20"/>
          <w:szCs w:val="20"/>
        </w:rPr>
        <w:t xml:space="preserve"> d</w:t>
      </w:r>
      <w:r w:rsidR="00C87D6B">
        <w:rPr>
          <w:rFonts w:ascii="Georgia" w:eastAsia="Georgia" w:hAnsi="Georgia" w:cs="Georgia"/>
          <w:sz w:val="20"/>
          <w:szCs w:val="20"/>
        </w:rPr>
        <w:t>elle</w:t>
      </w:r>
      <w:r w:rsidR="00C87D6B" w:rsidRPr="0099084A">
        <w:rPr>
          <w:rFonts w:ascii="Georgia" w:eastAsia="Georgia" w:hAnsi="Georgia" w:cs="Georgia"/>
          <w:sz w:val="20"/>
          <w:szCs w:val="20"/>
        </w:rPr>
        <w:t xml:space="preserve"> condizioni più vantaggiose offerte dal nuovo</w:t>
      </w:r>
      <w:r w:rsidR="00C87D6B">
        <w:rPr>
          <w:rFonts w:ascii="Georgia" w:eastAsia="Georgia" w:hAnsi="Georgia" w:cs="Georgia"/>
          <w:sz w:val="20"/>
          <w:szCs w:val="20"/>
        </w:rPr>
        <w:t xml:space="preserve"> istituto, si sono attestate al </w:t>
      </w:r>
      <w:r w:rsidR="004C5C51">
        <w:rPr>
          <w:rFonts w:ascii="Georgia" w:eastAsia="Georgia" w:hAnsi="Georgia" w:cs="Georgia"/>
          <w:sz w:val="20"/>
          <w:szCs w:val="20"/>
        </w:rPr>
        <w:t>36,9</w:t>
      </w:r>
      <w:r w:rsidR="00C87D6B">
        <w:rPr>
          <w:rFonts w:ascii="Georgia" w:eastAsia="Georgia" w:hAnsi="Georgia" w:cs="Georgia"/>
          <w:sz w:val="20"/>
          <w:szCs w:val="20"/>
        </w:rPr>
        <w:t>% del totale</w:t>
      </w:r>
      <w:r w:rsidR="006256D8">
        <w:rPr>
          <w:rFonts w:ascii="Georgia" w:eastAsia="Georgia" w:hAnsi="Georgia" w:cs="Georgia"/>
          <w:sz w:val="20"/>
          <w:szCs w:val="20"/>
        </w:rPr>
        <w:t xml:space="preserve"> nel 2024</w:t>
      </w:r>
      <w:r w:rsidR="00C87D6B">
        <w:rPr>
          <w:rFonts w:ascii="Georgia" w:eastAsia="Georgia" w:hAnsi="Georgia" w:cs="Georgia"/>
          <w:sz w:val="20"/>
          <w:szCs w:val="20"/>
        </w:rPr>
        <w:t xml:space="preserve">, </w:t>
      </w:r>
      <w:r w:rsidR="00D52C3A">
        <w:rPr>
          <w:rFonts w:ascii="Georgia" w:eastAsia="Georgia" w:hAnsi="Georgia" w:cs="Georgia"/>
          <w:sz w:val="20"/>
          <w:szCs w:val="20"/>
        </w:rPr>
        <w:t>2,5 punti percentuali</w:t>
      </w:r>
      <w:r w:rsidR="00C87D6B">
        <w:rPr>
          <w:rFonts w:ascii="Georgia" w:eastAsia="Georgia" w:hAnsi="Georgia" w:cs="Georgia"/>
          <w:sz w:val="20"/>
          <w:szCs w:val="20"/>
        </w:rPr>
        <w:t xml:space="preserve"> al di sopra della media nazionale </w:t>
      </w:r>
      <w:r w:rsidR="00D52C3A">
        <w:rPr>
          <w:rFonts w:ascii="Georgia" w:eastAsia="Georgia" w:hAnsi="Georgia" w:cs="Georgia"/>
          <w:sz w:val="20"/>
          <w:szCs w:val="20"/>
        </w:rPr>
        <w:t>(34,4</w:t>
      </w:r>
      <w:r w:rsidR="00C87D6B">
        <w:rPr>
          <w:rFonts w:ascii="Georgia" w:eastAsia="Georgia" w:hAnsi="Georgia" w:cs="Georgia"/>
          <w:sz w:val="20"/>
          <w:szCs w:val="20"/>
        </w:rPr>
        <w:t>%</w:t>
      </w:r>
      <w:r w:rsidR="00D52C3A">
        <w:rPr>
          <w:rFonts w:ascii="Georgia" w:eastAsia="Georgia" w:hAnsi="Georgia" w:cs="Georgia"/>
          <w:sz w:val="20"/>
          <w:szCs w:val="20"/>
        </w:rPr>
        <w:t>)</w:t>
      </w:r>
      <w:r w:rsidR="00C87D6B">
        <w:rPr>
          <w:rFonts w:ascii="Georgia" w:eastAsia="Georgia" w:hAnsi="Georgia" w:cs="Georgia"/>
          <w:sz w:val="20"/>
          <w:szCs w:val="20"/>
        </w:rPr>
        <w:t xml:space="preserve">. </w:t>
      </w:r>
      <w:r w:rsidR="008304C9">
        <w:rPr>
          <w:rFonts w:ascii="Georgia" w:eastAsia="Georgia" w:hAnsi="Georgia" w:cs="Georgia"/>
          <w:sz w:val="20"/>
          <w:szCs w:val="20"/>
        </w:rPr>
        <w:t xml:space="preserve">Anche negli ultimi tre mesi dell’anno la quota di richieste di </w:t>
      </w:r>
      <w:r w:rsidR="00C87D6B">
        <w:rPr>
          <w:rFonts w:ascii="Georgia" w:eastAsia="Georgia" w:hAnsi="Georgia" w:cs="Georgia"/>
          <w:sz w:val="20"/>
          <w:szCs w:val="20"/>
        </w:rPr>
        <w:t>trasferimento del mutuo</w:t>
      </w:r>
      <w:r w:rsidR="008304C9">
        <w:rPr>
          <w:rFonts w:ascii="Georgia" w:eastAsia="Georgia" w:hAnsi="Georgia" w:cs="Georgia"/>
          <w:sz w:val="20"/>
          <w:szCs w:val="20"/>
        </w:rPr>
        <w:t xml:space="preserve"> si è attestata oltre il 3</w:t>
      </w:r>
      <w:r w:rsidR="004C5C51">
        <w:rPr>
          <w:rFonts w:ascii="Georgia" w:eastAsia="Georgia" w:hAnsi="Georgia" w:cs="Georgia"/>
          <w:sz w:val="20"/>
          <w:szCs w:val="20"/>
        </w:rPr>
        <w:t>7</w:t>
      </w:r>
      <w:r w:rsidR="008304C9">
        <w:rPr>
          <w:rFonts w:ascii="Georgia" w:eastAsia="Georgia" w:hAnsi="Georgia" w:cs="Georgia"/>
          <w:sz w:val="20"/>
          <w:szCs w:val="20"/>
        </w:rPr>
        <w:t>% del totale (</w:t>
      </w:r>
      <w:r w:rsidR="004C5C51">
        <w:rPr>
          <w:rFonts w:ascii="Georgia" w:eastAsia="Georgia" w:hAnsi="Georgia" w:cs="Georgia"/>
          <w:sz w:val="20"/>
          <w:szCs w:val="20"/>
        </w:rPr>
        <w:t>37,7</w:t>
      </w:r>
      <w:r w:rsidR="008304C9">
        <w:rPr>
          <w:rFonts w:ascii="Georgia" w:eastAsia="Georgia" w:hAnsi="Georgia" w:cs="Georgia"/>
          <w:sz w:val="20"/>
          <w:szCs w:val="20"/>
        </w:rPr>
        <w:t>%), mentre la finalità</w:t>
      </w:r>
      <w:r w:rsidR="006256D8">
        <w:rPr>
          <w:rFonts w:ascii="Georgia" w:eastAsia="Georgia" w:hAnsi="Georgia" w:cs="Georgia"/>
          <w:sz w:val="20"/>
          <w:szCs w:val="20"/>
        </w:rPr>
        <w:t xml:space="preserve"> di finanziamento</w:t>
      </w:r>
      <w:r w:rsidR="008304C9">
        <w:rPr>
          <w:rFonts w:ascii="Georgia" w:eastAsia="Georgia" w:hAnsi="Georgia" w:cs="Georgia"/>
          <w:sz w:val="20"/>
          <w:szCs w:val="20"/>
        </w:rPr>
        <w:t xml:space="preserve"> più richiesta rimane l’acquisto della prima casa, al </w:t>
      </w:r>
      <w:r w:rsidR="004C5C51">
        <w:rPr>
          <w:rFonts w:ascii="Georgia" w:eastAsia="Georgia" w:hAnsi="Georgia" w:cs="Georgia"/>
          <w:sz w:val="20"/>
          <w:szCs w:val="20"/>
        </w:rPr>
        <w:t>53,9</w:t>
      </w:r>
      <w:r w:rsidR="008304C9">
        <w:rPr>
          <w:rFonts w:ascii="Georgia" w:eastAsia="Georgia" w:hAnsi="Georgia" w:cs="Georgia"/>
          <w:sz w:val="20"/>
          <w:szCs w:val="20"/>
        </w:rPr>
        <w:t xml:space="preserve">% del </w:t>
      </w:r>
      <w:r w:rsidR="00C87D6B">
        <w:rPr>
          <w:rFonts w:ascii="Georgia" w:eastAsia="Georgia" w:hAnsi="Georgia" w:cs="Georgia"/>
          <w:sz w:val="20"/>
          <w:szCs w:val="20"/>
        </w:rPr>
        <w:t>mix</w:t>
      </w:r>
      <w:r w:rsidR="008304C9">
        <w:rPr>
          <w:rFonts w:ascii="Georgia" w:eastAsia="Georgia" w:hAnsi="Georgia" w:cs="Georgia"/>
          <w:sz w:val="20"/>
          <w:szCs w:val="20"/>
        </w:rPr>
        <w:t xml:space="preserve"> nell’ultimo trimestre e al </w:t>
      </w:r>
      <w:r w:rsidR="004C5C51">
        <w:rPr>
          <w:rFonts w:ascii="Georgia" w:eastAsia="Georgia" w:hAnsi="Georgia" w:cs="Georgia"/>
          <w:sz w:val="20"/>
          <w:szCs w:val="20"/>
        </w:rPr>
        <w:t>54,1</w:t>
      </w:r>
      <w:r w:rsidR="008304C9">
        <w:rPr>
          <w:rFonts w:ascii="Georgia" w:eastAsia="Georgia" w:hAnsi="Georgia" w:cs="Georgia"/>
          <w:sz w:val="20"/>
          <w:szCs w:val="20"/>
        </w:rPr>
        <w:t xml:space="preserve">% se si considera l’intero 2024. </w:t>
      </w:r>
    </w:p>
    <w:p w14:paraId="46C6E0DA" w14:textId="77777777" w:rsidR="00C87D6B" w:rsidRDefault="00C87D6B" w:rsidP="008304C9">
      <w:pPr>
        <w:spacing w:after="0" w:line="240" w:lineRule="auto"/>
        <w:jc w:val="both"/>
        <w:rPr>
          <w:rFonts w:ascii="Georgia" w:eastAsia="Georgia" w:hAnsi="Georgia" w:cs="Georgia"/>
          <w:sz w:val="20"/>
          <w:szCs w:val="20"/>
        </w:rPr>
      </w:pPr>
    </w:p>
    <w:p w14:paraId="1EE27118" w14:textId="17ADA2C5" w:rsidR="00BF0F33" w:rsidRDefault="00BF0F33" w:rsidP="00BF0F33">
      <w:pPr>
        <w:spacing w:after="0" w:line="240" w:lineRule="auto"/>
        <w:jc w:val="center"/>
        <w:rPr>
          <w:rFonts w:ascii="Georgia" w:eastAsia="Georgia" w:hAnsi="Georgia" w:cs="Georgia"/>
          <w:sz w:val="20"/>
          <w:szCs w:val="20"/>
        </w:rPr>
      </w:pPr>
      <w:r>
        <w:rPr>
          <w:rFonts w:ascii="Georgia" w:eastAsia="Georgia" w:hAnsi="Georgia" w:cs="Georgia"/>
          <w:noProof/>
          <w:sz w:val="20"/>
          <w:szCs w:val="20"/>
          <w14:ligatures w14:val="standardContextual"/>
        </w:rPr>
        <w:drawing>
          <wp:inline distT="0" distB="0" distL="0" distR="0" wp14:anchorId="7B4A1D87" wp14:editId="433BAE5F">
            <wp:extent cx="3689208" cy="2075180"/>
            <wp:effectExtent l="0" t="0" r="6985" b="1270"/>
            <wp:docPr id="2090679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7923" name="Immagin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1510" cy="2087725"/>
                    </a:xfrm>
                    <a:prstGeom prst="rect">
                      <a:avLst/>
                    </a:prstGeom>
                  </pic:spPr>
                </pic:pic>
              </a:graphicData>
            </a:graphic>
          </wp:inline>
        </w:drawing>
      </w:r>
    </w:p>
    <w:p w14:paraId="03BC7E99" w14:textId="77777777" w:rsidR="00BF0F33" w:rsidRDefault="00BF0F33" w:rsidP="00BF0F33">
      <w:pPr>
        <w:spacing w:after="0" w:line="240" w:lineRule="auto"/>
        <w:jc w:val="center"/>
        <w:rPr>
          <w:rFonts w:ascii="Georgia" w:eastAsia="Georgia" w:hAnsi="Georgia" w:cs="Georgia"/>
          <w:sz w:val="20"/>
          <w:szCs w:val="20"/>
        </w:rPr>
      </w:pPr>
    </w:p>
    <w:p w14:paraId="0AA6D664" w14:textId="3BDC4935" w:rsidR="00C87D6B" w:rsidRDefault="008304C9" w:rsidP="008304C9">
      <w:pPr>
        <w:spacing w:after="0" w:line="240" w:lineRule="auto"/>
        <w:jc w:val="both"/>
        <w:rPr>
          <w:rFonts w:ascii="Georgia" w:eastAsia="Georgia" w:hAnsi="Georgia" w:cs="Georgia"/>
          <w:sz w:val="20"/>
          <w:szCs w:val="20"/>
        </w:rPr>
      </w:pPr>
      <w:r>
        <w:rPr>
          <w:rFonts w:ascii="Georgia" w:eastAsia="Georgia" w:hAnsi="Georgia" w:cs="Georgia"/>
          <w:sz w:val="20"/>
          <w:szCs w:val="20"/>
        </w:rPr>
        <w:t>La durata media dei finanziamenti</w:t>
      </w:r>
      <w:r w:rsidR="006256D8">
        <w:rPr>
          <w:rFonts w:ascii="Georgia" w:eastAsia="Georgia" w:hAnsi="Georgia" w:cs="Georgia"/>
          <w:sz w:val="20"/>
          <w:szCs w:val="20"/>
        </w:rPr>
        <w:t xml:space="preserve"> nella regione</w:t>
      </w:r>
      <w:r>
        <w:rPr>
          <w:rFonts w:ascii="Georgia" w:eastAsia="Georgia" w:hAnsi="Georgia" w:cs="Georgia"/>
          <w:sz w:val="20"/>
          <w:szCs w:val="20"/>
        </w:rPr>
        <w:t xml:space="preserve"> si conferma in crescita, passando dai 2</w:t>
      </w:r>
      <w:r w:rsidR="00C87D6B">
        <w:rPr>
          <w:rFonts w:ascii="Georgia" w:eastAsia="Georgia" w:hAnsi="Georgia" w:cs="Georgia"/>
          <w:sz w:val="20"/>
          <w:szCs w:val="20"/>
        </w:rPr>
        <w:t>4</w:t>
      </w:r>
      <w:r>
        <w:rPr>
          <w:rFonts w:ascii="Georgia" w:eastAsia="Georgia" w:hAnsi="Georgia" w:cs="Georgia"/>
          <w:sz w:val="20"/>
          <w:szCs w:val="20"/>
        </w:rPr>
        <w:t xml:space="preserve"> anni</w:t>
      </w:r>
      <w:r w:rsidR="004F2034">
        <w:rPr>
          <w:rFonts w:ascii="Georgia" w:eastAsia="Georgia" w:hAnsi="Georgia" w:cs="Georgia"/>
          <w:sz w:val="20"/>
          <w:szCs w:val="20"/>
        </w:rPr>
        <w:t xml:space="preserve"> e 3 mesi</w:t>
      </w:r>
      <w:r>
        <w:rPr>
          <w:rFonts w:ascii="Georgia" w:eastAsia="Georgia" w:hAnsi="Georgia" w:cs="Georgia"/>
          <w:sz w:val="20"/>
          <w:szCs w:val="20"/>
        </w:rPr>
        <w:t xml:space="preserve"> del 2022, ai 24</w:t>
      </w:r>
      <w:r w:rsidR="008B2D1C">
        <w:rPr>
          <w:rFonts w:ascii="Georgia" w:eastAsia="Georgia" w:hAnsi="Georgia" w:cs="Georgia"/>
          <w:sz w:val="20"/>
          <w:szCs w:val="20"/>
        </w:rPr>
        <w:t xml:space="preserve"> anni e </w:t>
      </w:r>
      <w:r w:rsidR="00C87D6B">
        <w:rPr>
          <w:rFonts w:ascii="Georgia" w:eastAsia="Georgia" w:hAnsi="Georgia" w:cs="Georgia"/>
          <w:sz w:val="20"/>
          <w:szCs w:val="20"/>
        </w:rPr>
        <w:t>2</w:t>
      </w:r>
      <w:r w:rsidR="008B2D1C">
        <w:rPr>
          <w:rFonts w:ascii="Georgia" w:eastAsia="Georgia" w:hAnsi="Georgia" w:cs="Georgia"/>
          <w:sz w:val="20"/>
          <w:szCs w:val="20"/>
        </w:rPr>
        <w:t xml:space="preserve"> mesi</w:t>
      </w:r>
      <w:r>
        <w:rPr>
          <w:rFonts w:ascii="Georgia" w:eastAsia="Georgia" w:hAnsi="Georgia" w:cs="Georgia"/>
          <w:sz w:val="20"/>
          <w:szCs w:val="20"/>
        </w:rPr>
        <w:t xml:space="preserve"> del 2023, fino al 24</w:t>
      </w:r>
      <w:r w:rsidR="008B2D1C">
        <w:rPr>
          <w:rFonts w:ascii="Georgia" w:eastAsia="Georgia" w:hAnsi="Georgia" w:cs="Georgia"/>
          <w:sz w:val="20"/>
          <w:szCs w:val="20"/>
        </w:rPr>
        <w:t xml:space="preserve"> anni e </w:t>
      </w:r>
      <w:r w:rsidR="00FD1520">
        <w:rPr>
          <w:rFonts w:ascii="Georgia" w:eastAsia="Georgia" w:hAnsi="Georgia" w:cs="Georgia"/>
          <w:sz w:val="20"/>
          <w:szCs w:val="20"/>
        </w:rPr>
        <w:t>6</w:t>
      </w:r>
      <w:r w:rsidR="00C87D6B">
        <w:rPr>
          <w:rFonts w:ascii="Georgia" w:eastAsia="Georgia" w:hAnsi="Georgia" w:cs="Georgia"/>
          <w:sz w:val="20"/>
          <w:szCs w:val="20"/>
        </w:rPr>
        <w:t xml:space="preserve"> </w:t>
      </w:r>
      <w:r w:rsidR="008B2D1C">
        <w:rPr>
          <w:rFonts w:ascii="Georgia" w:eastAsia="Georgia" w:hAnsi="Georgia" w:cs="Georgia"/>
          <w:sz w:val="20"/>
          <w:szCs w:val="20"/>
        </w:rPr>
        <w:t xml:space="preserve">mesi </w:t>
      </w:r>
      <w:r>
        <w:rPr>
          <w:rFonts w:ascii="Georgia" w:eastAsia="Georgia" w:hAnsi="Georgia" w:cs="Georgia"/>
          <w:sz w:val="20"/>
          <w:szCs w:val="20"/>
        </w:rPr>
        <w:t xml:space="preserve">del 2024 (dato più alto degli ultimi 10 anni), </w:t>
      </w:r>
      <w:r w:rsidR="00C87D6B">
        <w:rPr>
          <w:rFonts w:ascii="Georgia" w:eastAsia="Georgia" w:hAnsi="Georgia" w:cs="Georgia"/>
          <w:sz w:val="20"/>
          <w:szCs w:val="20"/>
        </w:rPr>
        <w:t xml:space="preserve">con </w:t>
      </w:r>
      <w:proofErr w:type="gramStart"/>
      <w:r w:rsidR="00C87D6B">
        <w:rPr>
          <w:rFonts w:ascii="Georgia" w:eastAsia="Georgia" w:hAnsi="Georgia" w:cs="Georgia"/>
          <w:sz w:val="20"/>
          <w:szCs w:val="20"/>
        </w:rPr>
        <w:t>il trend</w:t>
      </w:r>
      <w:proofErr w:type="gramEnd"/>
      <w:r w:rsidR="00C87D6B">
        <w:rPr>
          <w:rFonts w:ascii="Georgia" w:eastAsia="Georgia" w:hAnsi="Georgia" w:cs="Georgia"/>
          <w:sz w:val="20"/>
          <w:szCs w:val="20"/>
        </w:rPr>
        <w:t xml:space="preserve"> di crescita che prosegue nell’ultimo trimestre dell’anno</w:t>
      </w:r>
      <w:r w:rsidR="00CB4E3A">
        <w:rPr>
          <w:rFonts w:ascii="Georgia" w:eastAsia="Georgia" w:hAnsi="Georgia" w:cs="Georgia"/>
          <w:sz w:val="20"/>
          <w:szCs w:val="20"/>
        </w:rPr>
        <w:t>,</w:t>
      </w:r>
      <w:r w:rsidR="00C87D6B">
        <w:rPr>
          <w:rFonts w:ascii="Georgia" w:eastAsia="Georgia" w:hAnsi="Georgia" w:cs="Georgia"/>
          <w:sz w:val="20"/>
          <w:szCs w:val="20"/>
        </w:rPr>
        <w:t xml:space="preserve"> arrivando a </w:t>
      </w:r>
      <w:r w:rsidR="004C5C51">
        <w:rPr>
          <w:rFonts w:ascii="Georgia" w:eastAsia="Georgia" w:hAnsi="Georgia" w:cs="Georgia"/>
          <w:sz w:val="20"/>
          <w:szCs w:val="20"/>
        </w:rPr>
        <w:t>24</w:t>
      </w:r>
      <w:r w:rsidR="008B2D1C">
        <w:rPr>
          <w:rFonts w:ascii="Georgia" w:eastAsia="Georgia" w:hAnsi="Georgia" w:cs="Georgia"/>
          <w:sz w:val="20"/>
          <w:szCs w:val="20"/>
        </w:rPr>
        <w:t xml:space="preserve"> anni e </w:t>
      </w:r>
      <w:r w:rsidR="00026858">
        <w:rPr>
          <w:rFonts w:ascii="Georgia" w:eastAsia="Georgia" w:hAnsi="Georgia" w:cs="Georgia"/>
          <w:sz w:val="20"/>
          <w:szCs w:val="20"/>
        </w:rPr>
        <w:t>10</w:t>
      </w:r>
      <w:r w:rsidR="00C87D6B">
        <w:rPr>
          <w:rFonts w:ascii="Georgia" w:eastAsia="Georgia" w:hAnsi="Georgia" w:cs="Georgia"/>
          <w:sz w:val="20"/>
          <w:szCs w:val="20"/>
        </w:rPr>
        <w:t xml:space="preserve"> </w:t>
      </w:r>
      <w:r w:rsidR="008B2D1C">
        <w:rPr>
          <w:rFonts w:ascii="Georgia" w:eastAsia="Georgia" w:hAnsi="Georgia" w:cs="Georgia"/>
          <w:sz w:val="20"/>
          <w:szCs w:val="20"/>
        </w:rPr>
        <w:t>mesi.</w:t>
      </w:r>
    </w:p>
    <w:p w14:paraId="78F9F82D" w14:textId="4ECE1724" w:rsidR="00587B82" w:rsidRDefault="00C87D6B" w:rsidP="009174BC">
      <w:pPr>
        <w:spacing w:after="0" w:line="240" w:lineRule="auto"/>
        <w:jc w:val="both"/>
        <w:rPr>
          <w:rFonts w:ascii="Georgia" w:eastAsia="Georgia" w:hAnsi="Georgia" w:cs="Georgia"/>
          <w:sz w:val="20"/>
          <w:szCs w:val="20"/>
        </w:rPr>
      </w:pPr>
      <w:r>
        <w:rPr>
          <w:rFonts w:ascii="Georgia" w:eastAsia="Georgia" w:hAnsi="Georgia" w:cs="Georgia"/>
          <w:sz w:val="20"/>
          <w:szCs w:val="20"/>
        </w:rPr>
        <w:t>A</w:t>
      </w:r>
      <w:r w:rsidR="008304C9">
        <w:rPr>
          <w:rFonts w:ascii="Georgia" w:eastAsia="Georgia" w:hAnsi="Georgia" w:cs="Georgia"/>
          <w:sz w:val="20"/>
          <w:szCs w:val="20"/>
        </w:rPr>
        <w:t>nche per quanto riguarda l’importo medio richiesto</w:t>
      </w:r>
      <w:r w:rsidR="009174BC">
        <w:rPr>
          <w:rFonts w:ascii="Georgia" w:eastAsia="Georgia" w:hAnsi="Georgia" w:cs="Georgia"/>
          <w:sz w:val="20"/>
          <w:szCs w:val="20"/>
        </w:rPr>
        <w:t>, in Lombardia</w:t>
      </w:r>
      <w:r w:rsidR="008304C9">
        <w:rPr>
          <w:rFonts w:ascii="Georgia" w:eastAsia="Georgia" w:hAnsi="Georgia" w:cs="Georgia"/>
          <w:sz w:val="20"/>
          <w:szCs w:val="20"/>
        </w:rPr>
        <w:t xml:space="preserve"> si registra i</w:t>
      </w:r>
      <w:r>
        <w:rPr>
          <w:rFonts w:ascii="Georgia" w:eastAsia="Georgia" w:hAnsi="Georgia" w:cs="Georgia"/>
          <w:sz w:val="20"/>
          <w:szCs w:val="20"/>
        </w:rPr>
        <w:t>l</w:t>
      </w:r>
      <w:r w:rsidR="008304C9">
        <w:rPr>
          <w:rFonts w:ascii="Georgia" w:eastAsia="Georgia" w:hAnsi="Georgia" w:cs="Georgia"/>
          <w:sz w:val="20"/>
          <w:szCs w:val="20"/>
        </w:rPr>
        <w:t xml:space="preserve"> valor</w:t>
      </w:r>
      <w:r>
        <w:rPr>
          <w:rFonts w:ascii="Georgia" w:eastAsia="Georgia" w:hAnsi="Georgia" w:cs="Georgia"/>
          <w:sz w:val="20"/>
          <w:szCs w:val="20"/>
        </w:rPr>
        <w:t>e</w:t>
      </w:r>
      <w:r w:rsidR="008304C9">
        <w:rPr>
          <w:rFonts w:ascii="Georgia" w:eastAsia="Georgia" w:hAnsi="Georgia" w:cs="Georgia"/>
          <w:sz w:val="20"/>
          <w:szCs w:val="20"/>
        </w:rPr>
        <w:t xml:space="preserve"> più alt</w:t>
      </w:r>
      <w:r w:rsidR="009174BC">
        <w:rPr>
          <w:rFonts w:ascii="Georgia" w:eastAsia="Georgia" w:hAnsi="Georgia" w:cs="Georgia"/>
          <w:sz w:val="20"/>
          <w:szCs w:val="20"/>
        </w:rPr>
        <w:t>o</w:t>
      </w:r>
      <w:r w:rsidR="008304C9">
        <w:rPr>
          <w:rFonts w:ascii="Georgia" w:eastAsia="Georgia" w:hAnsi="Georgia" w:cs="Georgia"/>
          <w:sz w:val="20"/>
          <w:szCs w:val="20"/>
        </w:rPr>
        <w:t xml:space="preserve"> dal 2014</w:t>
      </w:r>
      <w:r>
        <w:rPr>
          <w:rFonts w:ascii="Georgia" w:eastAsia="Georgia" w:hAnsi="Georgia" w:cs="Georgia"/>
          <w:sz w:val="20"/>
          <w:szCs w:val="20"/>
        </w:rPr>
        <w:t xml:space="preserve"> con </w:t>
      </w:r>
      <w:r w:rsidR="004C5C51">
        <w:rPr>
          <w:rFonts w:ascii="Georgia" w:eastAsia="Georgia" w:hAnsi="Georgia" w:cs="Georgia"/>
          <w:sz w:val="20"/>
          <w:szCs w:val="20"/>
        </w:rPr>
        <w:t>155.6</w:t>
      </w:r>
      <w:r w:rsidR="009609A1">
        <w:rPr>
          <w:rFonts w:ascii="Georgia" w:eastAsia="Georgia" w:hAnsi="Georgia" w:cs="Georgia"/>
          <w:sz w:val="20"/>
          <w:szCs w:val="20"/>
        </w:rPr>
        <w:t>57</w:t>
      </w:r>
      <w:r w:rsidR="004C5C51">
        <w:rPr>
          <w:rFonts w:ascii="Georgia" w:eastAsia="Georgia" w:hAnsi="Georgia" w:cs="Georgia"/>
          <w:sz w:val="20"/>
          <w:szCs w:val="20"/>
        </w:rPr>
        <w:t xml:space="preserve"> </w:t>
      </w:r>
      <w:r>
        <w:rPr>
          <w:rFonts w:ascii="Georgia" w:eastAsia="Georgia" w:hAnsi="Georgia" w:cs="Georgia"/>
          <w:sz w:val="20"/>
          <w:szCs w:val="20"/>
        </w:rPr>
        <w:t>€ (+</w:t>
      </w:r>
      <w:r w:rsidR="004C5C51">
        <w:rPr>
          <w:rFonts w:ascii="Georgia" w:eastAsia="Georgia" w:hAnsi="Georgia" w:cs="Georgia"/>
          <w:sz w:val="20"/>
          <w:szCs w:val="20"/>
        </w:rPr>
        <w:t>5,</w:t>
      </w:r>
      <w:r w:rsidR="009609A1">
        <w:rPr>
          <w:rFonts w:ascii="Georgia" w:eastAsia="Georgia" w:hAnsi="Georgia" w:cs="Georgia"/>
          <w:sz w:val="20"/>
          <w:szCs w:val="20"/>
        </w:rPr>
        <w:t>0</w:t>
      </w:r>
      <w:r>
        <w:rPr>
          <w:rFonts w:ascii="Georgia" w:eastAsia="Georgia" w:hAnsi="Georgia" w:cs="Georgia"/>
          <w:sz w:val="20"/>
          <w:szCs w:val="20"/>
        </w:rPr>
        <w:t xml:space="preserve">% rispetto al 2023), dato ben </w:t>
      </w:r>
      <w:r w:rsidR="00B212A0">
        <w:rPr>
          <w:rFonts w:ascii="Georgia" w:eastAsia="Georgia" w:hAnsi="Georgia" w:cs="Georgia"/>
          <w:sz w:val="20"/>
          <w:szCs w:val="20"/>
        </w:rPr>
        <w:t>sopra la</w:t>
      </w:r>
      <w:r>
        <w:rPr>
          <w:rFonts w:ascii="Georgia" w:eastAsia="Georgia" w:hAnsi="Georgia" w:cs="Georgia"/>
          <w:sz w:val="20"/>
          <w:szCs w:val="20"/>
        </w:rPr>
        <w:t xml:space="preserve"> media nazionale</w:t>
      </w:r>
      <w:r w:rsidR="00024A6C">
        <w:rPr>
          <w:rFonts w:ascii="Georgia" w:eastAsia="Georgia" w:hAnsi="Georgia" w:cs="Georgia"/>
          <w:sz w:val="20"/>
          <w:szCs w:val="20"/>
        </w:rPr>
        <w:t>,</w:t>
      </w:r>
      <w:r>
        <w:rPr>
          <w:rFonts w:ascii="Georgia" w:eastAsia="Georgia" w:hAnsi="Georgia" w:cs="Georgia"/>
          <w:sz w:val="20"/>
          <w:szCs w:val="20"/>
        </w:rPr>
        <w:t xml:space="preserve"> che si attesta a </w:t>
      </w:r>
      <w:r w:rsidR="001B3953">
        <w:rPr>
          <w:rFonts w:ascii="Georgia" w:eastAsia="Georgia" w:hAnsi="Georgia" w:cs="Georgia"/>
          <w:sz w:val="20"/>
          <w:szCs w:val="20"/>
        </w:rPr>
        <w:t xml:space="preserve">140.470 </w:t>
      </w:r>
      <w:r>
        <w:rPr>
          <w:rFonts w:ascii="Georgia" w:eastAsia="Georgia" w:hAnsi="Georgia" w:cs="Georgia"/>
          <w:sz w:val="20"/>
          <w:szCs w:val="20"/>
        </w:rPr>
        <w:t xml:space="preserve">€. </w:t>
      </w:r>
      <w:r w:rsidR="00D70A73">
        <w:rPr>
          <w:rFonts w:ascii="Georgia" w:eastAsia="Georgia" w:hAnsi="Georgia" w:cs="Georgia"/>
          <w:sz w:val="20"/>
          <w:szCs w:val="20"/>
        </w:rPr>
        <w:t>Il</w:t>
      </w:r>
      <w:r>
        <w:rPr>
          <w:rFonts w:ascii="Georgia" w:eastAsia="Georgia" w:hAnsi="Georgia" w:cs="Georgia"/>
          <w:sz w:val="20"/>
          <w:szCs w:val="20"/>
        </w:rPr>
        <w:t xml:space="preserve"> valore</w:t>
      </w:r>
      <w:r w:rsidR="00FF2825">
        <w:rPr>
          <w:rFonts w:ascii="Georgia" w:eastAsia="Georgia" w:hAnsi="Georgia" w:cs="Georgia"/>
          <w:sz w:val="20"/>
          <w:szCs w:val="20"/>
        </w:rPr>
        <w:t xml:space="preserve"> medio</w:t>
      </w:r>
      <w:r>
        <w:rPr>
          <w:rFonts w:ascii="Georgia" w:eastAsia="Georgia" w:hAnsi="Georgia" w:cs="Georgia"/>
          <w:sz w:val="20"/>
          <w:szCs w:val="20"/>
        </w:rPr>
        <w:t xml:space="preserve"> degli immobili</w:t>
      </w:r>
      <w:r w:rsidR="00D70A73">
        <w:rPr>
          <w:rFonts w:ascii="Georgia" w:eastAsia="Georgia" w:hAnsi="Georgia" w:cs="Georgia"/>
          <w:sz w:val="20"/>
          <w:szCs w:val="20"/>
        </w:rPr>
        <w:t xml:space="preserve"> si </w:t>
      </w:r>
      <w:r w:rsidR="009174BC">
        <w:rPr>
          <w:rFonts w:ascii="Georgia" w:eastAsia="Georgia" w:hAnsi="Georgia" w:cs="Georgia"/>
          <w:sz w:val="20"/>
          <w:szCs w:val="20"/>
        </w:rPr>
        <w:t xml:space="preserve">conferma </w:t>
      </w:r>
      <w:r w:rsidR="004C5C51">
        <w:rPr>
          <w:rFonts w:ascii="Georgia" w:eastAsia="Georgia" w:hAnsi="Georgia" w:cs="Georgia"/>
          <w:sz w:val="20"/>
          <w:szCs w:val="20"/>
        </w:rPr>
        <w:t xml:space="preserve">inoltre </w:t>
      </w:r>
      <w:r w:rsidR="009174BC">
        <w:rPr>
          <w:rFonts w:ascii="Georgia" w:eastAsia="Georgia" w:hAnsi="Georgia" w:cs="Georgia"/>
          <w:sz w:val="20"/>
          <w:szCs w:val="20"/>
        </w:rPr>
        <w:t xml:space="preserve">nettamente </w:t>
      </w:r>
      <w:r w:rsidR="00930B85">
        <w:rPr>
          <w:rFonts w:ascii="Georgia" w:eastAsia="Georgia" w:hAnsi="Georgia" w:cs="Georgia"/>
          <w:sz w:val="20"/>
          <w:szCs w:val="20"/>
        </w:rPr>
        <w:t>più alto rispetto</w:t>
      </w:r>
      <w:r w:rsidR="009174BC">
        <w:rPr>
          <w:rFonts w:ascii="Georgia" w:eastAsia="Georgia" w:hAnsi="Georgia" w:cs="Georgia"/>
          <w:sz w:val="20"/>
          <w:szCs w:val="20"/>
        </w:rPr>
        <w:t xml:space="preserve"> </w:t>
      </w:r>
      <w:r w:rsidR="003A0B50">
        <w:rPr>
          <w:rFonts w:ascii="Georgia" w:eastAsia="Georgia" w:hAnsi="Georgia" w:cs="Georgia"/>
          <w:sz w:val="20"/>
          <w:szCs w:val="20"/>
        </w:rPr>
        <w:t>al resto della Penisola</w:t>
      </w:r>
      <w:r w:rsidR="00930B85">
        <w:rPr>
          <w:rFonts w:ascii="Georgia" w:eastAsia="Georgia" w:hAnsi="Georgia" w:cs="Georgia"/>
          <w:sz w:val="20"/>
          <w:szCs w:val="20"/>
        </w:rPr>
        <w:t>,</w:t>
      </w:r>
      <w:r w:rsidR="009174BC">
        <w:rPr>
          <w:rFonts w:ascii="Georgia" w:eastAsia="Georgia" w:hAnsi="Georgia" w:cs="Georgia"/>
          <w:sz w:val="20"/>
          <w:szCs w:val="20"/>
        </w:rPr>
        <w:t xml:space="preserve"> con </w:t>
      </w:r>
      <w:r w:rsidR="004C5C51">
        <w:rPr>
          <w:rFonts w:ascii="Georgia" w:eastAsia="Georgia" w:hAnsi="Georgia" w:cs="Georgia"/>
          <w:sz w:val="20"/>
          <w:szCs w:val="20"/>
        </w:rPr>
        <w:t>252.6</w:t>
      </w:r>
      <w:r w:rsidR="008B6E3A">
        <w:rPr>
          <w:rFonts w:ascii="Georgia" w:eastAsia="Georgia" w:hAnsi="Georgia" w:cs="Georgia"/>
          <w:sz w:val="20"/>
          <w:szCs w:val="20"/>
        </w:rPr>
        <w:t>70</w:t>
      </w:r>
      <w:r w:rsidR="004C5C51">
        <w:rPr>
          <w:rFonts w:ascii="Georgia" w:eastAsia="Georgia" w:hAnsi="Georgia" w:cs="Georgia"/>
          <w:sz w:val="20"/>
          <w:szCs w:val="20"/>
        </w:rPr>
        <w:t xml:space="preserve"> </w:t>
      </w:r>
      <w:r w:rsidR="009174BC">
        <w:rPr>
          <w:rFonts w:ascii="Georgia" w:eastAsia="Georgia" w:hAnsi="Georgia" w:cs="Georgia"/>
          <w:sz w:val="20"/>
          <w:szCs w:val="20"/>
        </w:rPr>
        <w:t>€ nella regione (+</w:t>
      </w:r>
      <w:r w:rsidR="004C5C51">
        <w:rPr>
          <w:rFonts w:ascii="Georgia" w:eastAsia="Georgia" w:hAnsi="Georgia" w:cs="Georgia"/>
          <w:sz w:val="20"/>
          <w:szCs w:val="20"/>
        </w:rPr>
        <w:t xml:space="preserve">1,9% </w:t>
      </w:r>
      <w:r w:rsidR="009174BC">
        <w:rPr>
          <w:rFonts w:ascii="Georgia" w:eastAsia="Georgia" w:hAnsi="Georgia" w:cs="Georgia"/>
          <w:sz w:val="20"/>
          <w:szCs w:val="20"/>
        </w:rPr>
        <w:t xml:space="preserve">rispetto al 2023) contro i </w:t>
      </w:r>
      <w:r w:rsidR="001B3953">
        <w:rPr>
          <w:rFonts w:ascii="Georgia" w:eastAsia="Georgia" w:hAnsi="Georgia" w:cs="Georgia"/>
          <w:sz w:val="20"/>
          <w:szCs w:val="20"/>
        </w:rPr>
        <w:t>225.13</w:t>
      </w:r>
      <w:r w:rsidR="00F52A18">
        <w:rPr>
          <w:rFonts w:ascii="Georgia" w:eastAsia="Georgia" w:hAnsi="Georgia" w:cs="Georgia"/>
          <w:sz w:val="20"/>
          <w:szCs w:val="20"/>
        </w:rPr>
        <w:t>4</w:t>
      </w:r>
      <w:r w:rsidR="001B3953">
        <w:rPr>
          <w:rFonts w:ascii="Georgia" w:eastAsia="Georgia" w:hAnsi="Georgia" w:cs="Georgia"/>
          <w:sz w:val="20"/>
          <w:szCs w:val="20"/>
        </w:rPr>
        <w:t xml:space="preserve"> </w:t>
      </w:r>
      <w:r w:rsidR="009174BC">
        <w:rPr>
          <w:rFonts w:ascii="Georgia" w:eastAsia="Georgia" w:hAnsi="Georgia" w:cs="Georgia"/>
          <w:sz w:val="20"/>
          <w:szCs w:val="20"/>
        </w:rPr>
        <w:t xml:space="preserve">€ </w:t>
      </w:r>
      <w:r w:rsidR="003A0B50">
        <w:rPr>
          <w:rFonts w:ascii="Georgia" w:eastAsia="Georgia" w:hAnsi="Georgia" w:cs="Georgia"/>
          <w:sz w:val="20"/>
          <w:szCs w:val="20"/>
        </w:rPr>
        <w:t xml:space="preserve">in media </w:t>
      </w:r>
      <w:r w:rsidR="00764964">
        <w:rPr>
          <w:rFonts w:ascii="Georgia" w:eastAsia="Georgia" w:hAnsi="Georgia" w:cs="Georgia"/>
          <w:sz w:val="20"/>
          <w:szCs w:val="20"/>
        </w:rPr>
        <w:t>in Italia</w:t>
      </w:r>
      <w:r w:rsidR="00587B82">
        <w:rPr>
          <w:rFonts w:ascii="Georgia" w:eastAsia="Georgia" w:hAnsi="Georgia" w:cs="Georgia"/>
          <w:sz w:val="20"/>
          <w:szCs w:val="20"/>
        </w:rPr>
        <w:t>.</w:t>
      </w:r>
    </w:p>
    <w:p w14:paraId="55F3E33F" w14:textId="62D9FC52" w:rsidR="008304C9" w:rsidRDefault="00764964" w:rsidP="009174BC">
      <w:pPr>
        <w:spacing w:after="0" w:line="240" w:lineRule="auto"/>
        <w:jc w:val="both"/>
        <w:rPr>
          <w:rFonts w:ascii="Georgia" w:eastAsia="Georgia" w:hAnsi="Georgia" w:cs="Georgia"/>
          <w:sz w:val="20"/>
          <w:szCs w:val="20"/>
        </w:rPr>
      </w:pPr>
      <w:r>
        <w:rPr>
          <w:rFonts w:ascii="Georgia" w:eastAsia="Georgia" w:hAnsi="Georgia" w:cs="Georgia"/>
          <w:sz w:val="20"/>
          <w:szCs w:val="20"/>
        </w:rPr>
        <w:t>Infine,</w:t>
      </w:r>
      <w:r w:rsidR="005357BE">
        <w:rPr>
          <w:rFonts w:ascii="Georgia" w:eastAsia="Georgia" w:hAnsi="Georgia" w:cs="Georgia"/>
          <w:sz w:val="20"/>
          <w:szCs w:val="20"/>
        </w:rPr>
        <w:t xml:space="preserve"> l’età media dei richiedenti</w:t>
      </w:r>
      <w:r>
        <w:rPr>
          <w:rFonts w:ascii="Georgia" w:eastAsia="Georgia" w:hAnsi="Georgia" w:cs="Georgia"/>
          <w:sz w:val="20"/>
          <w:szCs w:val="20"/>
        </w:rPr>
        <w:t xml:space="preserve"> in Lombardia si attesta sui 39 anni, p</w:t>
      </w:r>
      <w:r w:rsidR="005357BE">
        <w:rPr>
          <w:rFonts w:ascii="Georgia" w:eastAsia="Georgia" w:hAnsi="Georgia" w:cs="Georgia"/>
          <w:sz w:val="20"/>
          <w:szCs w:val="20"/>
        </w:rPr>
        <w:t xml:space="preserve">iù bassa rispetto </w:t>
      </w:r>
      <w:proofErr w:type="spellStart"/>
      <w:r>
        <w:rPr>
          <w:rFonts w:ascii="Georgia" w:eastAsia="Georgia" w:hAnsi="Georgia" w:cs="Georgia"/>
          <w:sz w:val="20"/>
          <w:szCs w:val="20"/>
        </w:rPr>
        <w:t>alla</w:t>
      </w:r>
      <w:proofErr w:type="spellEnd"/>
      <w:r>
        <w:rPr>
          <w:rFonts w:ascii="Georgia" w:eastAsia="Georgia" w:hAnsi="Georgia" w:cs="Georgia"/>
          <w:sz w:val="20"/>
          <w:szCs w:val="20"/>
        </w:rPr>
        <w:t xml:space="preserve"> media italiana di</w:t>
      </w:r>
      <w:r w:rsidR="005357BE">
        <w:rPr>
          <w:rFonts w:ascii="Georgia" w:eastAsia="Georgia" w:hAnsi="Georgia" w:cs="Georgia"/>
          <w:sz w:val="20"/>
          <w:szCs w:val="20"/>
        </w:rPr>
        <w:t xml:space="preserve"> </w:t>
      </w:r>
      <w:r w:rsidR="004C5C51">
        <w:rPr>
          <w:rFonts w:ascii="Georgia" w:eastAsia="Georgia" w:hAnsi="Georgia" w:cs="Georgia"/>
          <w:sz w:val="20"/>
          <w:szCs w:val="20"/>
        </w:rPr>
        <w:t>39</w:t>
      </w:r>
      <w:r w:rsidR="00EE281D">
        <w:rPr>
          <w:rFonts w:ascii="Georgia" w:eastAsia="Georgia" w:hAnsi="Georgia" w:cs="Georgia"/>
          <w:sz w:val="20"/>
          <w:szCs w:val="20"/>
        </w:rPr>
        <w:t xml:space="preserve"> anni e </w:t>
      </w:r>
      <w:r w:rsidR="00625A9F">
        <w:rPr>
          <w:rFonts w:ascii="Georgia" w:eastAsia="Georgia" w:hAnsi="Georgia" w:cs="Georgia"/>
          <w:sz w:val="20"/>
          <w:szCs w:val="20"/>
        </w:rPr>
        <w:t>8 mesi</w:t>
      </w:r>
      <w:r w:rsidR="005357BE">
        <w:rPr>
          <w:rFonts w:ascii="Georgia" w:eastAsia="Georgia" w:hAnsi="Georgia" w:cs="Georgia"/>
          <w:sz w:val="20"/>
          <w:szCs w:val="20"/>
        </w:rPr>
        <w:t>.</w:t>
      </w:r>
    </w:p>
    <w:p w14:paraId="29C20ED4" w14:textId="77777777" w:rsidR="00740066" w:rsidRDefault="00740066" w:rsidP="009174BC">
      <w:pPr>
        <w:spacing w:after="0" w:line="240" w:lineRule="auto"/>
        <w:jc w:val="both"/>
        <w:rPr>
          <w:rFonts w:ascii="Georgia" w:eastAsia="Georgia" w:hAnsi="Georgia" w:cs="Georgia"/>
          <w:sz w:val="20"/>
          <w:szCs w:val="20"/>
        </w:rPr>
      </w:pPr>
    </w:p>
    <w:p w14:paraId="14F20027" w14:textId="67C46763" w:rsidR="00740066" w:rsidRDefault="00740066" w:rsidP="003335B1">
      <w:pPr>
        <w:spacing w:after="0" w:line="240" w:lineRule="auto"/>
        <w:rPr>
          <w:rFonts w:ascii="Georgia" w:eastAsia="Georgia" w:hAnsi="Georgia" w:cs="Georgia"/>
          <w:sz w:val="20"/>
          <w:szCs w:val="20"/>
        </w:rPr>
      </w:pPr>
      <w:r>
        <w:rPr>
          <w:rFonts w:ascii="Georgia" w:eastAsia="Georgia" w:hAnsi="Georgia" w:cs="Georgia"/>
          <w:noProof/>
          <w:sz w:val="20"/>
          <w:szCs w:val="20"/>
          <w14:ligatures w14:val="standardContextual"/>
        </w:rPr>
        <w:drawing>
          <wp:inline distT="0" distB="0" distL="0" distR="0" wp14:anchorId="74BF2764" wp14:editId="75344908">
            <wp:extent cx="6724817" cy="3782710"/>
            <wp:effectExtent l="0" t="0" r="0" b="8255"/>
            <wp:docPr id="203759608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6088" name="Immagin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29760" cy="3785491"/>
                    </a:xfrm>
                    <a:prstGeom prst="rect">
                      <a:avLst/>
                    </a:prstGeom>
                  </pic:spPr>
                </pic:pic>
              </a:graphicData>
            </a:graphic>
          </wp:inline>
        </w:drawing>
      </w:r>
    </w:p>
    <w:p w14:paraId="5BF6BCF7" w14:textId="77777777" w:rsidR="007C3498" w:rsidRDefault="007C3498"/>
    <w:sectPr w:rsidR="007C3498" w:rsidSect="007C3498">
      <w:headerReference w:type="default" r:id="rId16"/>
      <w:footerReference w:type="default" r:id="rId17"/>
      <w:pgSz w:w="11906" w:h="16838"/>
      <w:pgMar w:top="284" w:right="737" w:bottom="1276"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A506" w14:textId="77777777" w:rsidR="00956F96" w:rsidRDefault="00956F96" w:rsidP="007C3498">
      <w:pPr>
        <w:spacing w:after="0" w:line="240" w:lineRule="auto"/>
      </w:pPr>
      <w:r>
        <w:separator/>
      </w:r>
    </w:p>
  </w:endnote>
  <w:endnote w:type="continuationSeparator" w:id="0">
    <w:p w14:paraId="6978B2EB" w14:textId="77777777" w:rsidR="00956F96" w:rsidRDefault="00956F96" w:rsidP="007C3498">
      <w:pPr>
        <w:spacing w:after="0" w:line="240" w:lineRule="auto"/>
      </w:pPr>
      <w:r>
        <w:continuationSeparator/>
      </w:r>
    </w:p>
  </w:endnote>
  <w:endnote w:type="continuationNotice" w:id="1">
    <w:p w14:paraId="5CC518A9" w14:textId="77777777" w:rsidR="00D02A1C" w:rsidRDefault="00D02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6D6F" w14:textId="56E54262" w:rsidR="007C3498" w:rsidRDefault="007C3498">
    <w:pPr>
      <w:pStyle w:val="Pidipagina"/>
    </w:pPr>
    <w:r>
      <w:rPr>
        <w:noProof/>
      </w:rPr>
      <mc:AlternateContent>
        <mc:Choice Requires="wps">
          <w:drawing>
            <wp:anchor distT="45720" distB="45720" distL="114300" distR="114300" simplePos="0" relativeHeight="251658242" behindDoc="0" locked="0" layoutInCell="1" allowOverlap="1" wp14:anchorId="34309C65" wp14:editId="32EF6945">
              <wp:simplePos x="0" y="0"/>
              <wp:positionH relativeFrom="rightMargin">
                <wp:posOffset>-196899</wp:posOffset>
              </wp:positionH>
              <wp:positionV relativeFrom="page">
                <wp:posOffset>10240645</wp:posOffset>
              </wp:positionV>
              <wp:extent cx="554355" cy="344170"/>
              <wp:effectExtent l="0" t="0" r="0" b="0"/>
              <wp:wrapSquare wrapText="bothSides"/>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44170"/>
                      </a:xfrm>
                      <a:prstGeom prst="rect">
                        <a:avLst/>
                      </a:prstGeom>
                      <a:noFill/>
                      <a:ln w="9525">
                        <a:noFill/>
                        <a:miter lim="800000"/>
                        <a:headEnd/>
                        <a:tailEnd/>
                      </a:ln>
                    </wps:spPr>
                    <wps:txbx>
                      <w:txbxContent>
                        <w:p w14:paraId="41F108A4" w14:textId="77777777" w:rsidR="007C3498" w:rsidRPr="002E625D" w:rsidRDefault="007C3498" w:rsidP="007C3498">
                          <w:pPr>
                            <w:rPr>
                              <w:rFonts w:ascii="Roboto" w:hAnsi="Roboto"/>
                              <w:color w:val="FFFFFF" w:themeColor="background1"/>
                              <w:sz w:val="28"/>
                              <w:szCs w:val="28"/>
                            </w:rPr>
                          </w:pPr>
                          <w:r w:rsidRPr="002E625D">
                            <w:rPr>
                              <w:rFonts w:ascii="Roboto" w:hAnsi="Roboto"/>
                              <w:color w:val="FFFFFF" w:themeColor="background1"/>
                              <w:sz w:val="28"/>
                              <w:szCs w:val="28"/>
                            </w:rPr>
                            <w:fldChar w:fldCharType="begin"/>
                          </w:r>
                          <w:r w:rsidRPr="002E625D">
                            <w:rPr>
                              <w:rFonts w:ascii="Roboto" w:hAnsi="Roboto"/>
                              <w:color w:val="FFFFFF" w:themeColor="background1"/>
                              <w:sz w:val="28"/>
                              <w:szCs w:val="28"/>
                            </w:rPr>
                            <w:instrText>PAGE   \* MERGEFORMAT</w:instrText>
                          </w:r>
                          <w:r w:rsidRPr="002E625D">
                            <w:rPr>
                              <w:rFonts w:ascii="Roboto" w:hAnsi="Roboto"/>
                              <w:color w:val="FFFFFF" w:themeColor="background1"/>
                              <w:sz w:val="28"/>
                              <w:szCs w:val="28"/>
                            </w:rPr>
                            <w:fldChar w:fldCharType="separate"/>
                          </w:r>
                          <w:r w:rsidRPr="002E625D">
                            <w:rPr>
                              <w:rFonts w:ascii="Roboto" w:hAnsi="Roboto"/>
                              <w:color w:val="FFFFFF" w:themeColor="background1"/>
                              <w:sz w:val="28"/>
                              <w:szCs w:val="28"/>
                            </w:rPr>
                            <w:t>1</w:t>
                          </w:r>
                          <w:r w:rsidRPr="002E625D">
                            <w:rPr>
                              <w:rFonts w:ascii="Roboto" w:hAnsi="Roboto"/>
                              <w:color w:val="FFFFFF" w:themeColor="background1"/>
                              <w:sz w:val="28"/>
                              <w:szCs w:val="2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09C65" id="_x0000_t202" coordsize="21600,21600" o:spt="202" path="m,l,21600r21600,l21600,xe">
              <v:stroke joinstyle="miter"/>
              <v:path gradientshapeok="t" o:connecttype="rect"/>
            </v:shapetype>
            <v:shape id="Casella di testo 20" o:spid="_x0000_s1026" type="#_x0000_t202" style="position:absolute;margin-left:-15.5pt;margin-top:806.35pt;width:43.65pt;height:27.1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" filled="f" stroked="f">
              <v:textbox>
                <w:txbxContent>
                  <w:p w14:paraId="41F108A4" w14:textId="77777777" w:rsidR="007C3498" w:rsidRPr="002E625D" w:rsidRDefault="007C3498" w:rsidP="007C3498">
                    <w:pPr>
                      <w:rPr>
                        <w:rFonts w:ascii="Roboto" w:hAnsi="Roboto"/>
                        <w:color w:val="FFFFFF" w:themeColor="background1"/>
                        <w:sz w:val="28"/>
                        <w:szCs w:val="28"/>
                      </w:rPr>
                    </w:pPr>
                    <w:r w:rsidRPr="002E625D">
                      <w:rPr>
                        <w:rFonts w:ascii="Roboto" w:hAnsi="Roboto"/>
                        <w:color w:val="FFFFFF" w:themeColor="background1"/>
                        <w:sz w:val="28"/>
                        <w:szCs w:val="28"/>
                      </w:rPr>
                      <w:fldChar w:fldCharType="begin"/>
                    </w:r>
                    <w:r w:rsidRPr="002E625D">
                      <w:rPr>
                        <w:rFonts w:ascii="Roboto" w:hAnsi="Roboto"/>
                        <w:color w:val="FFFFFF" w:themeColor="background1"/>
                        <w:sz w:val="28"/>
                        <w:szCs w:val="28"/>
                      </w:rPr>
                      <w:instrText>PAGE   \* MERGEFORMAT</w:instrText>
                    </w:r>
                    <w:r w:rsidRPr="002E625D">
                      <w:rPr>
                        <w:rFonts w:ascii="Roboto" w:hAnsi="Roboto"/>
                        <w:color w:val="FFFFFF" w:themeColor="background1"/>
                        <w:sz w:val="28"/>
                        <w:szCs w:val="28"/>
                      </w:rPr>
                      <w:fldChar w:fldCharType="separate"/>
                    </w:r>
                    <w:r w:rsidRPr="002E625D">
                      <w:rPr>
                        <w:rFonts w:ascii="Roboto" w:hAnsi="Roboto"/>
                        <w:color w:val="FFFFFF" w:themeColor="background1"/>
                        <w:sz w:val="28"/>
                        <w:szCs w:val="28"/>
                      </w:rPr>
                      <w:t>1</w:t>
                    </w:r>
                    <w:r w:rsidRPr="002E625D">
                      <w:rPr>
                        <w:rFonts w:ascii="Roboto" w:hAnsi="Roboto"/>
                        <w:color w:val="FFFFFF" w:themeColor="background1"/>
                        <w:sz w:val="28"/>
                        <w:szCs w:val="28"/>
                      </w:rPr>
                      <w:fldChar w:fldCharType="end"/>
                    </w:r>
                  </w:p>
                </w:txbxContent>
              </v:textbox>
              <w10:wrap type="square" anchorx="margin" anchory="page"/>
            </v:shape>
          </w:pict>
        </mc:Fallback>
      </mc:AlternateContent>
    </w:r>
    <w:r>
      <w:rPr>
        <w:noProof/>
      </w:rPr>
      <w:drawing>
        <wp:anchor distT="0" distB="0" distL="114300" distR="114300" simplePos="0" relativeHeight="251658241" behindDoc="0" locked="0" layoutInCell="1" allowOverlap="1" wp14:anchorId="21E21A3E" wp14:editId="38159993">
          <wp:simplePos x="0" y="0"/>
          <wp:positionH relativeFrom="page">
            <wp:align>center</wp:align>
          </wp:positionH>
          <wp:positionV relativeFrom="page">
            <wp:align>bottom</wp:align>
          </wp:positionV>
          <wp:extent cx="7243200" cy="583200"/>
          <wp:effectExtent l="0" t="0" r="0" b="762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32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5A0F" w14:textId="77777777" w:rsidR="00956F96" w:rsidRDefault="00956F96" w:rsidP="007C3498">
      <w:pPr>
        <w:spacing w:after="0" w:line="240" w:lineRule="auto"/>
      </w:pPr>
      <w:r>
        <w:separator/>
      </w:r>
    </w:p>
  </w:footnote>
  <w:footnote w:type="continuationSeparator" w:id="0">
    <w:p w14:paraId="6A3375AA" w14:textId="77777777" w:rsidR="00956F96" w:rsidRDefault="00956F96" w:rsidP="007C3498">
      <w:pPr>
        <w:spacing w:after="0" w:line="240" w:lineRule="auto"/>
      </w:pPr>
      <w:r>
        <w:continuationSeparator/>
      </w:r>
    </w:p>
  </w:footnote>
  <w:footnote w:type="continuationNotice" w:id="1">
    <w:p w14:paraId="582BC993" w14:textId="77777777" w:rsidR="00D02A1C" w:rsidRDefault="00D02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683A" w14:textId="46F21E3D" w:rsidR="007C3498" w:rsidRDefault="007C3498">
    <w:pPr>
      <w:pStyle w:val="Intestazione"/>
    </w:pPr>
    <w:r>
      <w:rPr>
        <w:noProof/>
      </w:rPr>
      <w:drawing>
        <wp:anchor distT="0" distB="0" distL="114300" distR="114300" simplePos="0" relativeHeight="251658240" behindDoc="1" locked="0" layoutInCell="1" allowOverlap="1" wp14:anchorId="517ED803" wp14:editId="1221D7A9">
          <wp:simplePos x="0" y="0"/>
          <wp:positionH relativeFrom="page">
            <wp:align>center</wp:align>
          </wp:positionH>
          <wp:positionV relativeFrom="page">
            <wp:align>top</wp:align>
          </wp:positionV>
          <wp:extent cx="7200000" cy="1080000"/>
          <wp:effectExtent l="0" t="0" r="1270" b="6350"/>
          <wp:wrapTight wrapText="bothSides">
            <wp:wrapPolygon edited="0">
              <wp:start x="0" y="0"/>
              <wp:lineTo x="0" y="21346"/>
              <wp:lineTo x="21547" y="21346"/>
              <wp:lineTo x="215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98"/>
    <w:rsid w:val="00011C2C"/>
    <w:rsid w:val="00024A6C"/>
    <w:rsid w:val="00024DDF"/>
    <w:rsid w:val="00026858"/>
    <w:rsid w:val="000861D2"/>
    <w:rsid w:val="000870D1"/>
    <w:rsid w:val="000A3D50"/>
    <w:rsid w:val="000D5596"/>
    <w:rsid w:val="00171C8F"/>
    <w:rsid w:val="001B3953"/>
    <w:rsid w:val="00241737"/>
    <w:rsid w:val="00267AD2"/>
    <w:rsid w:val="00280298"/>
    <w:rsid w:val="003335B1"/>
    <w:rsid w:val="00354E20"/>
    <w:rsid w:val="003A0B50"/>
    <w:rsid w:val="003E3515"/>
    <w:rsid w:val="004014B7"/>
    <w:rsid w:val="00425BB8"/>
    <w:rsid w:val="00442764"/>
    <w:rsid w:val="00443ABF"/>
    <w:rsid w:val="004513BE"/>
    <w:rsid w:val="004856ED"/>
    <w:rsid w:val="004C5C51"/>
    <w:rsid w:val="004E4ABE"/>
    <w:rsid w:val="004F2034"/>
    <w:rsid w:val="005357BE"/>
    <w:rsid w:val="005856C4"/>
    <w:rsid w:val="00587B82"/>
    <w:rsid w:val="005B3A32"/>
    <w:rsid w:val="005C0278"/>
    <w:rsid w:val="005E147C"/>
    <w:rsid w:val="006256D8"/>
    <w:rsid w:val="00625A9F"/>
    <w:rsid w:val="00663D9E"/>
    <w:rsid w:val="006B2D16"/>
    <w:rsid w:val="006B5CA7"/>
    <w:rsid w:val="006C0CC3"/>
    <w:rsid w:val="006C348F"/>
    <w:rsid w:val="006D6AA0"/>
    <w:rsid w:val="00734D31"/>
    <w:rsid w:val="00740066"/>
    <w:rsid w:val="00764964"/>
    <w:rsid w:val="0078230C"/>
    <w:rsid w:val="007C3498"/>
    <w:rsid w:val="007C6E40"/>
    <w:rsid w:val="008169E5"/>
    <w:rsid w:val="008304C9"/>
    <w:rsid w:val="00832C83"/>
    <w:rsid w:val="00851CCE"/>
    <w:rsid w:val="00876268"/>
    <w:rsid w:val="00894207"/>
    <w:rsid w:val="008A0365"/>
    <w:rsid w:val="008B2D1C"/>
    <w:rsid w:val="008B6E3A"/>
    <w:rsid w:val="008D5921"/>
    <w:rsid w:val="009174BC"/>
    <w:rsid w:val="00930B85"/>
    <w:rsid w:val="00956F96"/>
    <w:rsid w:val="009609A1"/>
    <w:rsid w:val="00A6623D"/>
    <w:rsid w:val="00AE2B3D"/>
    <w:rsid w:val="00B06BE4"/>
    <w:rsid w:val="00B1427A"/>
    <w:rsid w:val="00B212A0"/>
    <w:rsid w:val="00B26A2D"/>
    <w:rsid w:val="00B93A40"/>
    <w:rsid w:val="00B94C91"/>
    <w:rsid w:val="00B9500A"/>
    <w:rsid w:val="00BF0F33"/>
    <w:rsid w:val="00C00A1E"/>
    <w:rsid w:val="00C03B9C"/>
    <w:rsid w:val="00C5761C"/>
    <w:rsid w:val="00C87D6B"/>
    <w:rsid w:val="00CA19A5"/>
    <w:rsid w:val="00CB4E3A"/>
    <w:rsid w:val="00D02A1C"/>
    <w:rsid w:val="00D51155"/>
    <w:rsid w:val="00D52C3A"/>
    <w:rsid w:val="00D569AF"/>
    <w:rsid w:val="00D70A73"/>
    <w:rsid w:val="00DF07DB"/>
    <w:rsid w:val="00E0701E"/>
    <w:rsid w:val="00E7246B"/>
    <w:rsid w:val="00EB29D9"/>
    <w:rsid w:val="00EE281D"/>
    <w:rsid w:val="00F1478E"/>
    <w:rsid w:val="00F52A18"/>
    <w:rsid w:val="00FC5140"/>
    <w:rsid w:val="00FD1520"/>
    <w:rsid w:val="00FF2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25A35"/>
  <w15:chartTrackingRefBased/>
  <w15:docId w15:val="{F6ACDF32-5DBC-4D95-9BC7-3219263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498"/>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C3498"/>
    <w:pPr>
      <w:tabs>
        <w:tab w:val="center" w:pos="4819"/>
        <w:tab w:val="right" w:pos="9638"/>
      </w:tabs>
      <w:spacing w:after="0" w:line="240" w:lineRule="auto"/>
    </w:pPr>
    <w:rPr>
      <w:kern w:val="2"/>
      <w14:ligatures w14:val="standardContextual"/>
    </w:rPr>
  </w:style>
  <w:style w:type="character" w:customStyle="1" w:styleId="IntestazioneCarattere">
    <w:name w:val="Intestazione Carattere"/>
    <w:basedOn w:val="Carpredefinitoparagrafo"/>
    <w:link w:val="Intestazione"/>
    <w:uiPriority w:val="99"/>
    <w:rsid w:val="007C3498"/>
  </w:style>
  <w:style w:type="paragraph" w:styleId="Pidipagina">
    <w:name w:val="footer"/>
    <w:basedOn w:val="Normale"/>
    <w:link w:val="PidipaginaCarattere"/>
    <w:uiPriority w:val="99"/>
    <w:unhideWhenUsed/>
    <w:rsid w:val="007C3498"/>
    <w:pPr>
      <w:tabs>
        <w:tab w:val="center" w:pos="4819"/>
        <w:tab w:val="right" w:pos="9638"/>
      </w:tabs>
      <w:spacing w:after="0" w:line="240" w:lineRule="auto"/>
    </w:pPr>
    <w:rPr>
      <w:kern w:val="2"/>
      <w14:ligatures w14:val="standardContextual"/>
    </w:rPr>
  </w:style>
  <w:style w:type="character" w:customStyle="1" w:styleId="PidipaginaCarattere">
    <w:name w:val="Piè di pagina Carattere"/>
    <w:basedOn w:val="Carpredefinitoparagrafo"/>
    <w:link w:val="Pidipagina"/>
    <w:uiPriority w:val="99"/>
    <w:rsid w:val="007C3498"/>
  </w:style>
  <w:style w:type="character" w:customStyle="1" w:styleId="normaltextrun">
    <w:name w:val="normaltextrun"/>
    <w:basedOn w:val="Carpredefinitoparagrafo"/>
    <w:rsid w:val="00B06BE4"/>
  </w:style>
  <w:style w:type="paragraph" w:styleId="Revisione">
    <w:name w:val="Revision"/>
    <w:hidden/>
    <w:uiPriority w:val="99"/>
    <w:semiHidden/>
    <w:rsid w:val="00663D9E"/>
    <w:pPr>
      <w:spacing w:after="0" w:line="240" w:lineRule="auto"/>
    </w:pPr>
    <w:rPr>
      <w:kern w:val="0"/>
      <w14:ligatures w14:val="none"/>
    </w:rPr>
  </w:style>
  <w:style w:type="character" w:styleId="Collegamentoipertestuale">
    <w:name w:val="Hyperlink"/>
    <w:basedOn w:val="Carpredefinitoparagrafo"/>
    <w:uiPriority w:val="99"/>
    <w:unhideWhenUsed/>
    <w:rsid w:val="005E147C"/>
    <w:rPr>
      <w:color w:val="0563C1" w:themeColor="hyperlink"/>
      <w:u w:val="single"/>
    </w:rPr>
  </w:style>
  <w:style w:type="character" w:styleId="Menzionenonrisolta">
    <w:name w:val="Unresolved Mention"/>
    <w:basedOn w:val="Carpredefinitoparagrafo"/>
    <w:uiPriority w:val="99"/>
    <w:semiHidden/>
    <w:unhideWhenUsed/>
    <w:rsid w:val="0087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tuionline.it/mutuo-surro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utuionline.it/news/redazione/nicoletta-papucci.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tuionline.i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C72722F1BB184D9A85065A886B104C" ma:contentTypeVersion="15" ma:contentTypeDescription="Creare un nuovo documento." ma:contentTypeScope="" ma:versionID="bec07cfd21aaa5707b5b526fb908a85d">
  <xsd:schema xmlns:xsd="http://www.w3.org/2001/XMLSchema" xmlns:xs="http://www.w3.org/2001/XMLSchema" xmlns:p="http://schemas.microsoft.com/office/2006/metadata/properties" xmlns:ns2="319543eb-5639-4860-82a1-71670b6e96d4" xmlns:ns3="e23ab5b7-e73e-41db-8310-fc79645cbcdf" targetNamespace="http://schemas.microsoft.com/office/2006/metadata/properties" ma:root="true" ma:fieldsID="94027c8b8f481108bd91161dbe232269" ns2:_="" ns3:_="">
    <xsd:import namespace="319543eb-5639-4860-82a1-71670b6e96d4"/>
    <xsd:import namespace="e23ab5b7-e73e-41db-8310-fc79645cbc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43eb-5639-4860-82a1-71670b6e96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0db0a28d-f145-4dd4-94f8-f295e5ca094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ab5b7-e73e-41db-8310-fc79645cbc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3b38a8-da85-48db-9954-b132675812a9}" ma:internalName="TaxCatchAll" ma:showField="CatchAllData" ma:web="e23ab5b7-e73e-41db-8310-fc79645cbc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9543eb-5639-4860-82a1-71670b6e96d4">
      <Terms xmlns="http://schemas.microsoft.com/office/infopath/2007/PartnerControls"/>
    </lcf76f155ced4ddcb4097134ff3c332f>
    <TaxCatchAll xmlns="e23ab5b7-e73e-41db-8310-fc79645cbc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2A8A-1CC9-4F28-8246-A9745F7E9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43eb-5639-4860-82a1-71670b6e96d4"/>
    <ds:schemaRef ds:uri="e23ab5b7-e73e-41db-8310-fc79645cb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901A5-5E2F-4E48-99C8-715F9D9A8EA9}">
  <ds:schemaRefs>
    <ds:schemaRef ds:uri="http://purl.org/dc/terms/"/>
    <ds:schemaRef ds:uri="http://purl.org/dc/dcmitype/"/>
    <ds:schemaRef ds:uri="http://schemas.microsoft.com/office/2006/metadata/properties"/>
    <ds:schemaRef ds:uri="http://www.w3.org/XML/1998/namespace"/>
    <ds:schemaRef ds:uri="319543eb-5639-4860-82a1-71670b6e96d4"/>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e23ab5b7-e73e-41db-8310-fc79645cbcdf"/>
  </ds:schemaRefs>
</ds:datastoreItem>
</file>

<file path=customXml/itemProps3.xml><?xml version="1.0" encoding="utf-8"?>
<ds:datastoreItem xmlns:ds="http://schemas.openxmlformats.org/officeDocument/2006/customXml" ds:itemID="{14DCB19D-78CD-4BC2-96C2-C2935F41A798}">
  <ds:schemaRefs>
    <ds:schemaRef ds:uri="http://schemas.microsoft.com/sharepoint/v3/contenttype/forms"/>
  </ds:schemaRefs>
</ds:datastoreItem>
</file>

<file path=customXml/itemProps4.xml><?xml version="1.0" encoding="utf-8"?>
<ds:datastoreItem xmlns:ds="http://schemas.openxmlformats.org/officeDocument/2006/customXml" ds:itemID="{CCA3C142-D7FF-47A9-AF78-2776EC0A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Gruppo MutuiOnLine S.p.A.</Company>
  <LinksUpToDate>false</LinksUpToDate>
  <CharactersWithSpaces>4991</CharactersWithSpaces>
  <SharedDoc>false</SharedDoc>
  <HLinks>
    <vt:vector size="18" baseType="variant">
      <vt:variant>
        <vt:i4>393305</vt:i4>
      </vt:variant>
      <vt:variant>
        <vt:i4>6</vt:i4>
      </vt:variant>
      <vt:variant>
        <vt:i4>0</vt:i4>
      </vt:variant>
      <vt:variant>
        <vt:i4>5</vt:i4>
      </vt:variant>
      <vt:variant>
        <vt:lpwstr>https://www.mutuionline.it/mutuo-surroga/</vt:lpwstr>
      </vt:variant>
      <vt:variant>
        <vt:lpwstr/>
      </vt:variant>
      <vt:variant>
        <vt:i4>7667835</vt:i4>
      </vt:variant>
      <vt:variant>
        <vt:i4>3</vt:i4>
      </vt:variant>
      <vt:variant>
        <vt:i4>0</vt:i4>
      </vt:variant>
      <vt:variant>
        <vt:i4>5</vt:i4>
      </vt:variant>
      <vt:variant>
        <vt:lpwstr>https://www.mutuionline.it/news/redazione/nicoletta-papucci.asp</vt:lpwstr>
      </vt:variant>
      <vt:variant>
        <vt:lpwstr/>
      </vt:variant>
      <vt:variant>
        <vt:i4>8323131</vt:i4>
      </vt:variant>
      <vt:variant>
        <vt:i4>0</vt:i4>
      </vt:variant>
      <vt:variant>
        <vt:i4>0</vt:i4>
      </vt:variant>
      <vt:variant>
        <vt:i4>5</vt:i4>
      </vt:variant>
      <vt:variant>
        <vt:lpwstr>https://www.mutuionline.it/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Pestoni Francesco</dc:creator>
  <cp:keywords/>
  <dc:description/>
  <cp:lastModifiedBy>Pestoni Francesco</cp:lastModifiedBy>
  <cp:revision>2</cp:revision>
  <dcterms:created xsi:type="dcterms:W3CDTF">2025-01-22T10:17:00Z</dcterms:created>
  <dcterms:modified xsi:type="dcterms:W3CDTF">2025-01-22T10:17:00Z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0x01010067C72722F1BB184D9A85065A886B104C</vt:lpwstr>
  </property>
  <property fmtid="{D5CDD505-2E9C-101B-9397-08002B2CF9AE}" pid="3" name="MediaServiceImageTags">
    <vt:lpwstr/>
  </property>
</Properties>
</file>