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COMUNICATO STAMPA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PESTICIDI IN CITTÀ, TRACCE DI GLIFOSATO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NELL’ARIA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DI MESTRE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Scienziati e scienziate di Ca’ Foscari evidenziano l’uso pesticidi e fungicidi all’interno delle aree verdi cittadine: “Concentrazioni molto basse, ma è da evitare l’uso eccessivo di prodotti per la protezione delle piante”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VENEZIA - Per prendersi cura delle proprie piante e del giardino sono a disposizione di tutti diversi prodotti utilizzati in agricoltura come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pesticidi, erbicidi, fertilizzanti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Questi possono risolvere problemi specifici ma anche causare impatti negativi sulla qualità dei terreni, delle falde e anche dell’aria. Ma a che distanza si può manifestare l’impatto negativo di queste sostanze?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Un gruppo di ricerca dell’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Università Ca’ Foscari Venezia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ha analizzato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l’aria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di Mestre per migliorare la comprensione della “deriva dei pesticidi”, fenomeno per cui le gocce di prodotto che viene erogato vengono trasportate dal vento lontano dal luogo in cui è stato applicato. Si aspettavano di riscontrare l’utilizzo di pesticidi provenienti dalle zone rurali che circondano la città, invece hanno trovato evidenza di un utilizzo dell’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erbicida Glifosato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e del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fungicida Fosetil Alluminio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su giardini e parchi all’interno dell’area urbanizzata. I risultati sono stati pubblicati sulla rivista scientifica Environmental Pollution.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Scienziate e scienziati hanno posizionato sull’edificio più alto del Campus scientifico di Mestre dell’Università Ca’ Foscari un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campionatore di polveri fini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che permette di separare le particelle in aria in base alla dimensione. Infatti, più piccole sono le particelle, più facilmente verranno trasportate per lunghe distanze dal vento (trasporto long-range), suggerendo una sorgente distante dal punto di campionamento. Al contrario, una sorgente locale può essere identificata da particelle più grosse, in quanto possono essere trasportate per minori distanze (trasporto short-range).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“Nonostante ci aspettassimo di trovare i prodotti per la protezione delle piante nelle particelle più sottili, quindi provenienti dalle zone lontane dalla città di Mestre, abbiamo trovato Glifosato e a Fosetil Alluminio nelle particelle più grosse (10 - 1.8 μm)” - spiega Giovanna Mazzi, dottoranda di Scienze Ambientali e coautrice dello studio - “Questo ci suggerisce che i due composti sono usati all’interno della città, probabilmente nei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giardini privati o pubblici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”.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 concentrazioni rilevate sono molto basse, nell’ordine di frazioni di nanogrammi per metro cubo di aria campionata, ma i risultati non sono da sottovalutare e mettono in evidenzia una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contaminazione diffusa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La tossicità del glifosato è ancora ampiamente dibattuta, con l’Agenzia Internazionale per la Ricerca sul Cancro (IARC) che lo ha definito probabilmente cancerogeno, mentre una buona parte della letteratura scientifica lo ritiene non pericoloso per i mammiferi. I ricercatori raccomandano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attenzione e invitano a non abusare dei prodotti per la protezione delle piante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 gruppo di ricerca, guidato da Andrea Gambaro, professore di Chimica analitica a Ca’ Foscari, è formato dal ricercatore universitario Matteo Feltracco, dalle dottorande Giovanna Mazzi ed Eleonora Favaro, in collaborazione con Elena Barbaro, ricercatrice dell’Istituto di scienze polari del Consiglio Nazionale delle Ricerche.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—-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hyperlink r:id="rId7">
        <w:r w:rsidDel="00000000" w:rsidR="00000000" w:rsidRPr="00000000">
          <w:rPr>
            <w:rFonts w:ascii="Arial" w:cs="Arial" w:eastAsia="Arial" w:hAnsi="Arial"/>
            <w:b w:val="1"/>
            <w:color w:val="1155cc"/>
            <w:sz w:val="22"/>
            <w:szCs w:val="22"/>
            <w:u w:val="single"/>
            <w:rtl w:val="0"/>
          </w:rPr>
          <w:t xml:space="preserve">IMMAGINI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Campioni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Sito di Campionamento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L’articolo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Glyphosate and other plant protection products in size-segregated urban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aerosol: Occurrence and dimensional trend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Giovanna Mazzi, Matteo Feltracco, Elena Barbaro, Agata Alterio, Eleonora Favaro, Chafai Azri, Andrea Gambaro 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1"/>
          <w:sz w:val="22"/>
          <w:szCs w:val="22"/>
        </w:rPr>
      </w:pPr>
      <w:hyperlink r:id="rId8">
        <w:r w:rsidDel="00000000" w:rsidR="00000000" w:rsidRPr="00000000">
          <w:rPr>
            <w:rFonts w:ascii="Arial" w:cs="Arial" w:eastAsia="Arial" w:hAnsi="Arial"/>
            <w:b w:val="1"/>
            <w:color w:val="1155cc"/>
            <w:sz w:val="22"/>
            <w:szCs w:val="22"/>
            <w:u w:val="single"/>
            <w:rtl w:val="0"/>
          </w:rPr>
          <w:t xml:space="preserve">https://doi.org/10.1016/j.envpol.2024.124596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Contatti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 uso giornalistico da non divulgare)</w:t>
      </w:r>
    </w:p>
    <w:p w:rsidR="00000000" w:rsidDel="00000000" w:rsidP="00000000" w:rsidRDefault="00000000" w:rsidRPr="00000000" w14:paraId="00000021">
      <w:pPr>
        <w:shd w:fill="ffffff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Andrea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Gambaro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professore ordinario di Chimica analitica presso il Dipartimento di Scienze Ambientali, Informatica e Statistica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: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gambaro@unive.it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;  tel. 338 9426782</w:t>
      </w:r>
    </w:p>
    <w:p w:rsidR="00000000" w:rsidDel="00000000" w:rsidP="00000000" w:rsidRDefault="00000000" w:rsidRPr="00000000" w14:paraId="00000022">
      <w:pPr>
        <w:shd w:fill="ffffff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Università Ca' Foscari Venezia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Ufficio Comunicazione e Promozione di Ateneo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Settore Relazioni con i media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Enrico Costa: Tel. 337 1050858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Federica Ferrarin (Referente di Settore) Tel 366 6297904 - 335 5472229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Paola Vescovi (Direttrice): Tel. 366 6279602 – 339 1744126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pgSz w:h="16840" w:w="11900" w:orient="portrait"/>
      <w:pgMar w:bottom="1134" w:top="1701" w:left="2835" w:right="1134" w:header="0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Times New Roman"/>
  <w:font w:name="Apto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-1794508</wp:posOffset>
          </wp:positionH>
          <wp:positionV relativeFrom="paragraph">
            <wp:posOffset>0</wp:posOffset>
          </wp:positionV>
          <wp:extent cx="1796415" cy="10686415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96415" cy="1068641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  <w:sz w:val="24"/>
        <w:szCs w:val="24"/>
        <w:u w:val="singl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-1808477</wp:posOffset>
          </wp:positionH>
          <wp:positionV relativeFrom="paragraph">
            <wp:posOffset>0</wp:posOffset>
          </wp:positionV>
          <wp:extent cx="1659890" cy="10686415"/>
          <wp:effectExtent b="0" l="0" r="0" t="0"/>
          <wp:wrapNone/>
          <wp:docPr id="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59890" cy="1068641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aleWeb">
    <w:name w:val="Normal (Web)"/>
    <w:basedOn w:val="Normale"/>
    <w:uiPriority w:val="99"/>
    <w:unhideWhenUsed w:val="1"/>
    <w:rsid w:val="00631049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 w:val="1"/>
    <w:rsid w:val="00F00691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F619BD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F619BD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9" Type="http://schemas.openxmlformats.org/officeDocument/2006/relationships/hyperlink" Target="mailto:gambaro@unive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drive/folders/1tKmREs_-oSTfHEcwN5py0buz5HPakQvF?usp=sharing" TargetMode="External"/><Relationship Id="rId8" Type="http://schemas.openxmlformats.org/officeDocument/2006/relationships/hyperlink" Target="https://doi.org/10.1016/j.envpol.2024.124596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Mllyf+IuAAW4JS44EYZIzY5f/w==">CgMxLjA4AHIhMXh0a1RGTDQ0UFYzd2pWS0VIcS14RlhFSXNtTl9PZkYx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2024-06-17T09:53:00Z</dcterms:created>
  <dc:creator>COSTA ENRICO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0x0101002D99F791E611D546800936536E6ABE7E</vt:lpwstr>
  </property>
</Properties>
</file>